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(add-1 per possible destination)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cross-civilisation abroad author-years accumulated by origin and destination civilisation. Origin-destination cells with the same civilisation and destinations labelled Unknown are excluded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088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8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cross-civilisation abroad author-years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anchoring annual dropout to the cohort-level per-year hazard because year-to-year final attrition is right-censored before 2023;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0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3544.26</w:t>
            </w:r>
          </w:p>
        </w:tc>
        <w:tc>
          <w:tcPr>
            <w:tcW w:type="dxa" w:w="2880"/>
          </w:tcPr>
          <w:p>
            <w:r>
              <w:t>86.25%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11674.84</w:t>
            </w:r>
          </w:p>
        </w:tc>
        <w:tc>
          <w:tcPr>
            <w:tcW w:type="dxa" w:w="2880"/>
          </w:tcPr>
          <w:p>
            <w:r>
              <w:t>103.09%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7915.72</w:t>
            </w:r>
          </w:p>
        </w:tc>
        <w:tc>
          <w:tcPr>
            <w:tcW w:type="dxa" w:w="2880"/>
          </w:tcPr>
          <w:p>
            <w:r>
              <w:t>188.36%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16757.46</w:t>
            </w:r>
          </w:p>
        </w:tc>
        <w:tc>
          <w:tcPr>
            <w:tcW w:type="dxa" w:w="2880"/>
          </w:tcPr>
          <w:p>
            <w:r>
              <w:t>272.97%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1677.63</w:t>
            </w:r>
          </w:p>
        </w:tc>
        <w:tc>
          <w:tcPr>
            <w:tcW w:type="dxa" w:w="2880"/>
          </w:tcPr>
          <w:p>
            <w:r>
              <w:t>69.91%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6149.73</w:t>
            </w:r>
          </w:p>
        </w:tc>
        <w:tc>
          <w:tcPr>
            <w:tcW w:type="dxa" w:w="2880"/>
          </w:tcPr>
          <w:p>
            <w:r>
              <w:t>132.37%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256.88</w:t>
            </w:r>
          </w:p>
        </w:tc>
        <w:tc>
          <w:tcPr>
            <w:tcW w:type="dxa" w:w="2880"/>
          </w:tcPr>
          <w:p>
            <w:r>
              <w:t>98.71%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18771.59</w:t>
            </w:r>
          </w:p>
        </w:tc>
        <w:tc>
          <w:tcPr>
            <w:tcW w:type="dxa" w:w="2880"/>
          </w:tcPr>
          <w:p>
            <w:r>
              <w:t>132.26%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7013.54</w:t>
            </w:r>
          </w:p>
        </w:tc>
        <w:tc>
          <w:tcPr>
            <w:tcW w:type="dxa" w:w="2880"/>
          </w:tcPr>
          <w:p>
            <w:r>
              <w:t>77.36%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849.47</w:t>
            </w:r>
          </w:p>
        </w:tc>
        <w:tc>
          <w:tcPr>
            <w:tcW w:type="dxa" w:w="2880"/>
          </w:tcPr>
          <w:p>
            <w:r>
              <w:t>215.12%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19801.25</w:t>
            </w:r>
          </w:p>
        </w:tc>
        <w:tc>
          <w:tcPr>
            <w:tcW w:type="dxa" w:w="2880"/>
          </w:tcPr>
          <w:p>
            <w:r>
              <w:t>263.27%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394.83</w:t>
            </w:r>
          </w:p>
        </w:tc>
        <w:tc>
          <w:tcPr>
            <w:tcW w:type="dxa" w:w="2880"/>
          </w:tcPr>
          <w:p>
            <w:r>
              <w:t>50.08%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8094.10</w:t>
            </w:r>
          </w:p>
        </w:tc>
        <w:tc>
          <w:tcPr>
            <w:tcW w:type="dxa" w:w="2880"/>
          </w:tcPr>
          <w:p>
            <w:r>
              <w:t>171.62%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1744.50</w:t>
            </w:r>
          </w:p>
        </w:tc>
        <w:tc>
          <w:tcPr>
            <w:tcW w:type="dxa" w:w="2880"/>
          </w:tcPr>
          <w:p>
            <w:r>
              <w:t>36.43%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12709.83</w:t>
            </w:r>
          </w:p>
        </w:tc>
        <w:tc>
          <w:tcPr>
            <w:tcW w:type="dxa" w:w="2880"/>
          </w:tcPr>
          <w:p>
            <w:r>
              <w:t>37.66%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10190.39, MAPE = 129.03%.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5a. Rate-level forecast validation</w:t>
      </w:r>
    </w:p>
    <w:p>
      <w:r>
        <w:t>Stock-level projection is sensitive to the fact that the fixed cohort has no post-2016 new entrants, so the rate-level forecast provides a cleaner validation of the annual layer. Table 3 reports RMSE, MAE and a skill ratio against a historical-mean baseline for each transition rate. A skill ratio above 1.0 indicates that the projected rates improve on the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Rate</w:t>
            </w:r>
          </w:p>
        </w:tc>
        <w:tc>
          <w:tcPr>
            <w:tcW w:type="dxa" w:w="1440"/>
          </w:tcPr>
          <w:p>
            <w:r>
              <w:t>RMSE</w:t>
            </w:r>
          </w:p>
        </w:tc>
        <w:tc>
          <w:tcPr>
            <w:tcW w:type="dxa" w:w="1440"/>
          </w:tcPr>
          <w:p>
            <w:r>
              <w:t>MAE</w:t>
            </w:r>
          </w:p>
        </w:tc>
        <w:tc>
          <w:tcPr>
            <w:tcW w:type="dxa" w:w="1440"/>
          </w:tcPr>
          <w:p>
            <w:r>
              <w:t>MAPE</w:t>
            </w:r>
          </w:p>
        </w:tc>
        <w:tc>
          <w:tcPr>
            <w:tcW w:type="dxa" w:w="1440"/>
          </w:tcPr>
          <w:p>
            <w:r>
              <w:t>Naive RMSE</w:t>
            </w:r>
          </w:p>
        </w:tc>
        <w:tc>
          <w:tcPr>
            <w:tcW w:type="dxa" w:w="1440"/>
          </w:tcPr>
          <w:p>
            <w:r>
              <w:t>Skill</w:t>
            </w:r>
          </w:p>
        </w:tc>
      </w:tr>
      <w:tr>
        <w:tc>
          <w:tcPr>
            <w:tcW w:type="dxa" w:w="1440"/>
          </w:tcPr>
          <w:p>
            <w:r>
              <w:t>alpha</w:t>
            </w:r>
          </w:p>
        </w:tc>
        <w:tc>
          <w:tcPr>
            <w:tcW w:type="dxa" w:w="1440"/>
          </w:tcPr>
          <w:p>
            <w:r>
              <w:t>0.0052</w:t>
            </w:r>
          </w:p>
        </w:tc>
        <w:tc>
          <w:tcPr>
            <w:tcW w:type="dxa" w:w="1440"/>
          </w:tcPr>
          <w:p>
            <w:r>
              <w:t>0.0038</w:t>
            </w:r>
          </w:p>
        </w:tc>
        <w:tc>
          <w:tcPr>
            <w:tcW w:type="dxa" w:w="1440"/>
          </w:tcPr>
          <w:p>
            <w:r>
              <w:t>72.7%</w:t>
            </w:r>
          </w:p>
        </w:tc>
        <w:tc>
          <w:tcPr>
            <w:tcW w:type="dxa" w:w="1440"/>
          </w:tcPr>
          <w:p>
            <w:r>
              <w:t>0.0055</w:t>
            </w:r>
          </w:p>
        </w:tc>
        <w:tc>
          <w:tcPr>
            <w:tcW w:type="dxa" w:w="1440"/>
          </w:tcPr>
          <w:p>
            <w:r>
              <w:t>1.06</w:t>
            </w:r>
          </w:p>
        </w:tc>
      </w:tr>
      <w:tr>
        <w:tc>
          <w:tcPr>
            <w:tcW w:type="dxa" w:w="1440"/>
          </w:tcPr>
          <w:p>
            <w:r>
              <w:t>beta</w:t>
            </w:r>
          </w:p>
        </w:tc>
        <w:tc>
          <w:tcPr>
            <w:tcW w:type="dxa" w:w="1440"/>
          </w:tcPr>
          <w:p>
            <w:r>
              <w:t>0.2152</w:t>
            </w:r>
          </w:p>
        </w:tc>
        <w:tc>
          <w:tcPr>
            <w:tcW w:type="dxa" w:w="1440"/>
          </w:tcPr>
          <w:p>
            <w:r>
              <w:t>0.1077</w:t>
            </w:r>
          </w:p>
        </w:tc>
        <w:tc>
          <w:tcPr>
            <w:tcW w:type="dxa" w:w="1440"/>
          </w:tcPr>
          <w:p>
            <w:r>
              <w:t>992.2%</w:t>
            </w:r>
          </w:p>
        </w:tc>
        <w:tc>
          <w:tcPr>
            <w:tcW w:type="dxa" w:w="1440"/>
          </w:tcPr>
          <w:p>
            <w:r>
              <w:t>0.2184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</w:tr>
      <w:tr>
        <w:tc>
          <w:tcPr>
            <w:tcW w:type="dxa" w:w="1440"/>
          </w:tcPr>
          <w:p>
            <w:r>
              <w:t>h_D</w:t>
            </w:r>
          </w:p>
        </w:tc>
        <w:tc>
          <w:tcPr>
            <w:tcW w:type="dxa" w:w="1440"/>
          </w:tcPr>
          <w:p>
            <w:r>
              <w:t>0.0205</w:t>
            </w:r>
          </w:p>
        </w:tc>
        <w:tc>
          <w:tcPr>
            <w:tcW w:type="dxa" w:w="1440"/>
          </w:tcPr>
          <w:p>
            <w:r>
              <w:t>0.0160</w:t>
            </w:r>
          </w:p>
        </w:tc>
        <w:tc>
          <w:tcPr>
            <w:tcW w:type="dxa" w:w="1440"/>
          </w:tcPr>
          <w:p>
            <w:r>
              <w:t>390.6%</w:t>
            </w:r>
          </w:p>
        </w:tc>
        <w:tc>
          <w:tcPr>
            <w:tcW w:type="dxa" w:w="1440"/>
          </w:tcPr>
          <w:p>
            <w:r>
              <w:t>0.0225</w:t>
            </w:r>
          </w:p>
        </w:tc>
        <w:tc>
          <w:tcPr>
            <w:tcW w:type="dxa" w:w="1440"/>
          </w:tcPr>
          <w:p>
            <w:r>
              <w:t>1.09</w:t>
            </w:r>
          </w:p>
        </w:tc>
      </w:tr>
      <w:tr>
        <w:tc>
          <w:tcPr>
            <w:tcW w:type="dxa" w:w="1440"/>
          </w:tcPr>
          <w:p>
            <w:r>
              <w:t>h_A</w:t>
            </w:r>
          </w:p>
        </w:tc>
        <w:tc>
          <w:tcPr>
            <w:tcW w:type="dxa" w:w="1440"/>
          </w:tcPr>
          <w:p>
            <w:r>
              <w:t>0.0204</w:t>
            </w:r>
          </w:p>
        </w:tc>
        <w:tc>
          <w:tcPr>
            <w:tcW w:type="dxa" w:w="1440"/>
          </w:tcPr>
          <w:p>
            <w:r>
              <w:t>0.0160</w:t>
            </w:r>
          </w:p>
        </w:tc>
        <w:tc>
          <w:tcPr>
            <w:tcW w:type="dxa" w:w="1440"/>
          </w:tcPr>
          <w:p>
            <w:r>
              <w:t>101.5%</w:t>
            </w:r>
          </w:p>
        </w:tc>
        <w:tc>
          <w:tcPr>
            <w:tcW w:type="dxa" w:w="1440"/>
          </w:tcPr>
          <w:p>
            <w:r>
              <w:t>0.0303</w:t>
            </w:r>
          </w:p>
        </w:tc>
        <w:tc>
          <w:tcPr>
            <w:tcW w:type="dxa" w:w="1440"/>
          </w:tcPr>
          <w:p>
            <w:r>
              <w:t>1.48</w:t>
            </w:r>
          </w:p>
        </w:tc>
      </w:tr>
      <w:tr>
        <w:tc>
          <w:tcPr>
            <w:tcW w:type="dxa" w:w="1440"/>
          </w:tcPr>
          <w:p>
            <w:r>
              <w:t>p_D</w:t>
            </w:r>
          </w:p>
        </w:tc>
        <w:tc>
          <w:tcPr>
            <w:tcW w:type="dxa" w:w="1440"/>
          </w:tcPr>
          <w:p>
            <w:r>
              <w:t>0.0573</w:t>
            </w:r>
          </w:p>
        </w:tc>
        <w:tc>
          <w:tcPr>
            <w:tcW w:type="dxa" w:w="1440"/>
          </w:tcPr>
          <w:p>
            <w:r>
              <w:t>0.0509</w:t>
            </w:r>
          </w:p>
        </w:tc>
        <w:tc>
          <w:tcPr>
            <w:tcW w:type="dxa" w:w="1440"/>
          </w:tcPr>
          <w:p>
            <w:r>
              <w:t>247.8%</w:t>
            </w:r>
          </w:p>
        </w:tc>
        <w:tc>
          <w:tcPr>
            <w:tcW w:type="dxa" w:w="1440"/>
          </w:tcPr>
          <w:p>
            <w:r>
              <w:t>0.0376</w:t>
            </w:r>
          </w:p>
        </w:tc>
        <w:tc>
          <w:tcPr>
            <w:tcW w:type="dxa" w:w="1440"/>
          </w:tcPr>
          <w:p>
            <w:r>
              <w:t>0.66</w:t>
            </w:r>
          </w:p>
        </w:tc>
      </w:tr>
      <w:tr>
        <w:tc>
          <w:tcPr>
            <w:tcW w:type="dxa" w:w="1440"/>
          </w:tcPr>
          <w:p>
            <w:r>
              <w:t>p_A</w:t>
            </w:r>
          </w:p>
        </w:tc>
        <w:tc>
          <w:tcPr>
            <w:tcW w:type="dxa" w:w="1440"/>
          </w:tcPr>
          <w:p>
            <w:r>
              <w:t>0.0727</w:t>
            </w:r>
          </w:p>
        </w:tc>
        <w:tc>
          <w:tcPr>
            <w:tcW w:type="dxa" w:w="1440"/>
          </w:tcPr>
          <w:p>
            <w:r>
              <w:t>0.0603</w:t>
            </w:r>
          </w:p>
        </w:tc>
        <w:tc>
          <w:tcPr>
            <w:tcW w:type="dxa" w:w="1440"/>
          </w:tcPr>
          <w:p>
            <w:r>
              <w:t>94.6%</w:t>
            </w:r>
          </w:p>
        </w:tc>
        <w:tc>
          <w:tcPr>
            <w:tcW w:type="dxa" w:w="1440"/>
          </w:tcPr>
          <w:p>
            <w:r>
              <w:t>0.0629</w:t>
            </w:r>
          </w:p>
        </w:tc>
        <w:tc>
          <w:tcPr>
            <w:tcW w:type="dxa" w:w="1440"/>
          </w:tcPr>
          <w:p>
            <w:r>
              <w:t>0.86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nan</w:t>
            </w:r>
          </w:p>
        </w:tc>
      </w:tr>
    </w:tbl>
    <w:p>
      <w:pPr>
        <w:pStyle w:val="Caption"/>
        <w:jc w:val="center"/>
      </w:pPr>
      <w:r>
        <w:t>Table 3. Rate-level projection accuracy, 2017-2023.</w:t>
      </w:r>
    </w:p>
    <w:p>
      <w:r>
        <w:t>Overall rate-level RMSE = 0.0892, MAE = 0.0364, MAPE = 271.4%, skill = 0.99.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