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9972</w:t>
      </w:r>
    </w:p>
    <w:p>
      <w:pPr>
        <w:jc w:val="center"/>
      </w:pPr>
      <w:r>
        <w:t>Author information removed for double-blind review</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10190.39 and a conservative, non-standard MAPE of 129.0%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The analysis is bundled with a pre-extracted cohort and a stratified sample of works; the country-to-civilisation mapping, code, and result CSVs used to generate this manuscript will be made available in a public repository upon acceptance. The extracted cohort SQLite database (a derived aggregate of OpenAlex records) is available from the corresponding author on request, subject to the OpenAlex CC0 licence and any applicable local data-use policies.</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[Removed for double-blind review]</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reflects the clustering of career incentives, language, funding systems and institutional networks along civilisational lines, which shape mobility beyond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This connects that macro-level, innovation-systems view of path-dependent technological change to individual career-transition data: the transition rates and PNR distances reported below can be read as an empirical early-warning indicator of whether a particular civilisational innovation system retains enough researchers to sustain a distinct technological trajectory.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 Civilisation-level categories have also been shown to predict large-scale digital-communication networks</w:t>
      </w:r>
      <w:r>
        <w:rPr>
          <w:vertAlign w:val="superscript"/>
        </w:rPr>
        <w:t xml:space="preserve"> [17]</w:t>
      </w:r>
      <w:r>
        <w:t xml:space="preserve"> and country-capacity clusters in scientific mobility and collaboration</w:t>
      </w:r>
      <w:r>
        <w:rPr>
          <w:vertAlign w:val="superscript"/>
        </w:rPr>
        <w:t xml:space="preserve"> [18]</w:t>
      </w:r>
      <w:r>
        <w:t>, which supports the use of this aggregation as a cross-national research heuristic.</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 Civilisation labels are operational aggregations of OpenAlex country-affiliation patterns and do not imply normative cultural or political classification.</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In this sense, falling below M is a sufficient condition for collapse, not a necessary one; external shocks can push a community below viability even when the equilibrium active pool remains above M.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using a Laplace pseudocount of 1 for each outcome so the smoothed proportion is (successes + 1)/(n + 2).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smoothing with a pseudocount of 1 for each possible destination,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Projected annual dropout was capped at 1.5 times the 90th percentile of observed annual dropout rates in the 2000-2016 training period.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1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r>
        <w:t>The closest point-of-no-return lever is the same under the saturating alternative for every civilisation: exogenous entry (I0) is the rate that requires the smallest proportional change to push the active pool to its minimum viable threshold. Table 5a reports the proportional factor and proximity for the active-pool threshold under both assumptions. The rank order of civilisational fragility is preserved (Spearman ρ = 1.0), and the absolute proximity values move in the same direction. This confirms that the policy ranking—exogenous entry first, then dropout, then domestic promotion and return—is robust to replacing the linear feedback with a saturating one.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origin_group</w:t>
            </w:r>
          </w:p>
        </w:tc>
        <w:tc>
          <w:tcPr>
            <w:tcW w:type="dxa" w:w="1234"/>
          </w:tcPr>
          <w:p>
            <w:r>
              <w:rPr>
                <w:b/>
              </w:rPr>
              <w:t>linear_closest</w:t>
            </w:r>
          </w:p>
        </w:tc>
        <w:tc>
          <w:tcPr>
            <w:tcW w:type="dxa" w:w="1234"/>
          </w:tcPr>
          <w:p>
            <w:r>
              <w:rPr>
                <w:b/>
              </w:rPr>
              <w:t>linear_factor</w:t>
            </w:r>
          </w:p>
        </w:tc>
        <w:tc>
          <w:tcPr>
            <w:tcW w:type="dxa" w:w="1234"/>
          </w:tcPr>
          <w:p>
            <w:r>
              <w:rPr>
                <w:b/>
              </w:rPr>
              <w:t>linear_proximity</w:t>
            </w:r>
          </w:p>
        </w:tc>
        <w:tc>
          <w:tcPr>
            <w:tcW w:type="dxa" w:w="1234"/>
          </w:tcPr>
          <w:p>
            <w:r>
              <w:rPr>
                <w:b/>
              </w:rPr>
              <w:t>saturating_closest</w:t>
            </w:r>
          </w:p>
        </w:tc>
        <w:tc>
          <w:tcPr>
            <w:tcW w:type="dxa" w:w="1234"/>
          </w:tcPr>
          <w:p>
            <w:r>
              <w:rPr>
                <w:b/>
              </w:rPr>
              <w:t>saturating_factor</w:t>
            </w:r>
          </w:p>
        </w:tc>
        <w:tc>
          <w:tcPr>
            <w:tcW w:type="dxa" w:w="1234"/>
          </w:tcPr>
          <w:p>
            <w:r>
              <w:rPr>
                <w:b/>
              </w:rPr>
              <w:t>saturating_proximity</w:t>
            </w:r>
          </w:p>
        </w:tc>
      </w:tr>
      <w:tr>
        <w:tc>
          <w:tcPr>
            <w:tcW w:type="dxa" w:w="1234"/>
          </w:tcPr>
          <w:p>
            <w:r>
              <w:t>United States</w:t>
            </w:r>
          </w:p>
        </w:tc>
        <w:tc>
          <w:tcPr>
            <w:tcW w:type="dxa" w:w="1234"/>
          </w:tcPr>
          <w:p>
            <w:r>
              <w:t>I0</w:t>
            </w:r>
          </w:p>
        </w:tc>
        <w:tc>
          <w:tcPr>
            <w:tcW w:type="dxa" w:w="1234"/>
          </w:tcPr>
          <w:p>
            <w:r>
              <w:t>0.0125</w:t>
            </w:r>
          </w:p>
        </w:tc>
        <w:tc>
          <w:tcPr>
            <w:tcW w:type="dxa" w:w="1234"/>
          </w:tcPr>
          <w:p>
            <w:r>
              <w:t>0.9875</w:t>
            </w:r>
          </w:p>
        </w:tc>
        <w:tc>
          <w:tcPr>
            <w:tcW w:type="dxa" w:w="1234"/>
          </w:tcPr>
          <w:p>
            <w:r>
              <w:t>I0</w:t>
            </w:r>
          </w:p>
        </w:tc>
        <w:tc>
          <w:tcPr>
            <w:tcW w:type="dxa" w:w="1234"/>
          </w:tcPr>
          <w:p>
            <w:r>
              <w:t>0.0112</w:t>
            </w:r>
          </w:p>
        </w:tc>
        <w:tc>
          <w:tcPr>
            <w:tcW w:type="dxa" w:w="1234"/>
          </w:tcPr>
          <w:p>
            <w:r>
              <w:t>0.9888</w:t>
            </w:r>
          </w:p>
        </w:tc>
      </w:tr>
      <w:tr>
        <w:tc>
          <w:tcPr>
            <w:tcW w:type="dxa" w:w="1234"/>
          </w:tcPr>
          <w:p>
            <w:r>
              <w:t>Anglosphere ex-US</w:t>
            </w:r>
          </w:p>
        </w:tc>
        <w:tc>
          <w:tcPr>
            <w:tcW w:type="dxa" w:w="1234"/>
          </w:tcPr>
          <w:p>
            <w:r>
              <w:t>I0</w:t>
            </w:r>
          </w:p>
        </w:tc>
        <w:tc>
          <w:tcPr>
            <w:tcW w:type="dxa" w:w="1234"/>
          </w:tcPr>
          <w:p>
            <w:r>
              <w:t>0.0471</w:t>
            </w:r>
          </w:p>
        </w:tc>
        <w:tc>
          <w:tcPr>
            <w:tcW w:type="dxa" w:w="1234"/>
          </w:tcPr>
          <w:p>
            <w:r>
              <w:t>0.9529</w:t>
            </w:r>
          </w:p>
        </w:tc>
        <w:tc>
          <w:tcPr>
            <w:tcW w:type="dxa" w:w="1234"/>
          </w:tcPr>
          <w:p>
            <w:r>
              <w:t>I0</w:t>
            </w:r>
          </w:p>
        </w:tc>
        <w:tc>
          <w:tcPr>
            <w:tcW w:type="dxa" w:w="1234"/>
          </w:tcPr>
          <w:p>
            <w:r>
              <w:t>0.0424</w:t>
            </w:r>
          </w:p>
        </w:tc>
        <w:tc>
          <w:tcPr>
            <w:tcW w:type="dxa" w:w="1234"/>
          </w:tcPr>
          <w:p>
            <w:r>
              <w:t>0.9576</w:t>
            </w:r>
          </w:p>
        </w:tc>
      </w:tr>
      <w:tr>
        <w:tc>
          <w:tcPr>
            <w:tcW w:type="dxa" w:w="1234"/>
          </w:tcPr>
          <w:p>
            <w:r>
              <w:t>Continental Europe</w:t>
            </w:r>
          </w:p>
        </w:tc>
        <w:tc>
          <w:tcPr>
            <w:tcW w:type="dxa" w:w="1234"/>
          </w:tcPr>
          <w:p>
            <w:r>
              <w:t>I0</w:t>
            </w:r>
          </w:p>
        </w:tc>
        <w:tc>
          <w:tcPr>
            <w:tcW w:type="dxa" w:w="1234"/>
          </w:tcPr>
          <w:p>
            <w:r>
              <w:t>0.0201</w:t>
            </w:r>
          </w:p>
        </w:tc>
        <w:tc>
          <w:tcPr>
            <w:tcW w:type="dxa" w:w="1234"/>
          </w:tcPr>
          <w:p>
            <w:r>
              <w:t>0.9799</w:t>
            </w:r>
          </w:p>
        </w:tc>
        <w:tc>
          <w:tcPr>
            <w:tcW w:type="dxa" w:w="1234"/>
          </w:tcPr>
          <w:p>
            <w:r>
              <w:t>I0</w:t>
            </w:r>
          </w:p>
        </w:tc>
        <w:tc>
          <w:tcPr>
            <w:tcW w:type="dxa" w:w="1234"/>
          </w:tcPr>
          <w:p>
            <w:r>
              <w:t>0.0178</w:t>
            </w:r>
          </w:p>
        </w:tc>
        <w:tc>
          <w:tcPr>
            <w:tcW w:type="dxa" w:w="1234"/>
          </w:tcPr>
          <w:p>
            <w:r>
              <w:t>0.9822</w:t>
            </w:r>
          </w:p>
        </w:tc>
      </w:tr>
      <w:tr>
        <w:tc>
          <w:tcPr>
            <w:tcW w:type="dxa" w:w="1234"/>
          </w:tcPr>
          <w:p>
            <w:r>
              <w:t>Sinic</w:t>
            </w:r>
          </w:p>
        </w:tc>
        <w:tc>
          <w:tcPr>
            <w:tcW w:type="dxa" w:w="1234"/>
          </w:tcPr>
          <w:p>
            <w:r>
              <w:t>I0</w:t>
            </w:r>
          </w:p>
        </w:tc>
        <w:tc>
          <w:tcPr>
            <w:tcW w:type="dxa" w:w="1234"/>
          </w:tcPr>
          <w:p>
            <w:r>
              <w:t>0.0103</w:t>
            </w:r>
          </w:p>
        </w:tc>
        <w:tc>
          <w:tcPr>
            <w:tcW w:type="dxa" w:w="1234"/>
          </w:tcPr>
          <w:p>
            <w:r>
              <w:t>0.9897</w:t>
            </w:r>
          </w:p>
        </w:tc>
        <w:tc>
          <w:tcPr>
            <w:tcW w:type="dxa" w:w="1234"/>
          </w:tcPr>
          <w:p>
            <w:r>
              <w:t>I0</w:t>
            </w:r>
          </w:p>
        </w:tc>
        <w:tc>
          <w:tcPr>
            <w:tcW w:type="dxa" w:w="1234"/>
          </w:tcPr>
          <w:p>
            <w:r>
              <w:t>0.0089</w:t>
            </w:r>
          </w:p>
        </w:tc>
        <w:tc>
          <w:tcPr>
            <w:tcW w:type="dxa" w:w="1234"/>
          </w:tcPr>
          <w:p>
            <w:r>
              <w:t>0.9911</w:t>
            </w:r>
          </w:p>
        </w:tc>
      </w:tr>
      <w:tr>
        <w:tc>
          <w:tcPr>
            <w:tcW w:type="dxa" w:w="1234"/>
          </w:tcPr>
          <w:p>
            <w:r>
              <w:t>Japanese</w:t>
            </w:r>
          </w:p>
        </w:tc>
        <w:tc>
          <w:tcPr>
            <w:tcW w:type="dxa" w:w="1234"/>
          </w:tcPr>
          <w:p>
            <w:r>
              <w:t>I0</w:t>
            </w:r>
          </w:p>
        </w:tc>
        <w:tc>
          <w:tcPr>
            <w:tcW w:type="dxa" w:w="1234"/>
          </w:tcPr>
          <w:p>
            <w:r>
              <w:t>0.0611</w:t>
            </w:r>
          </w:p>
        </w:tc>
        <w:tc>
          <w:tcPr>
            <w:tcW w:type="dxa" w:w="1234"/>
          </w:tcPr>
          <w:p>
            <w:r>
              <w:t>0.9389</w:t>
            </w:r>
          </w:p>
        </w:tc>
        <w:tc>
          <w:tcPr>
            <w:tcW w:type="dxa" w:w="1234"/>
          </w:tcPr>
          <w:p>
            <w:r>
              <w:t>I0</w:t>
            </w:r>
          </w:p>
        </w:tc>
        <w:tc>
          <w:tcPr>
            <w:tcW w:type="dxa" w:w="1234"/>
          </w:tcPr>
          <w:p>
            <w:r>
              <w:t>0.0585</w:t>
            </w:r>
          </w:p>
        </w:tc>
        <w:tc>
          <w:tcPr>
            <w:tcW w:type="dxa" w:w="1234"/>
          </w:tcPr>
          <w:p>
            <w:r>
              <w:t>0.9415</w:t>
            </w:r>
          </w:p>
        </w:tc>
      </w:tr>
      <w:tr>
        <w:tc>
          <w:tcPr>
            <w:tcW w:type="dxa" w:w="1234"/>
          </w:tcPr>
          <w:p>
            <w:r>
              <w:t>Hindu</w:t>
            </w:r>
          </w:p>
        </w:tc>
        <w:tc>
          <w:tcPr>
            <w:tcW w:type="dxa" w:w="1234"/>
          </w:tcPr>
          <w:p>
            <w:r>
              <w:t>I0</w:t>
            </w:r>
          </w:p>
        </w:tc>
        <w:tc>
          <w:tcPr>
            <w:tcW w:type="dxa" w:w="1234"/>
          </w:tcPr>
          <w:p>
            <w:r>
              <w:t>0.0421</w:t>
            </w:r>
          </w:p>
        </w:tc>
        <w:tc>
          <w:tcPr>
            <w:tcW w:type="dxa" w:w="1234"/>
          </w:tcPr>
          <w:p>
            <w:r>
              <w:t>0.9579</w:t>
            </w:r>
          </w:p>
        </w:tc>
        <w:tc>
          <w:tcPr>
            <w:tcW w:type="dxa" w:w="1234"/>
          </w:tcPr>
          <w:p>
            <w:r>
              <w:t>I0</w:t>
            </w:r>
          </w:p>
        </w:tc>
        <w:tc>
          <w:tcPr>
            <w:tcW w:type="dxa" w:w="1234"/>
          </w:tcPr>
          <w:p>
            <w:r>
              <w:t>0.0344</w:t>
            </w:r>
          </w:p>
        </w:tc>
        <w:tc>
          <w:tcPr>
            <w:tcW w:type="dxa" w:w="1234"/>
          </w:tcPr>
          <w:p>
            <w:r>
              <w:t>0.9656</w:t>
            </w:r>
          </w:p>
        </w:tc>
      </w:tr>
      <w:tr>
        <w:tc>
          <w:tcPr>
            <w:tcW w:type="dxa" w:w="1234"/>
          </w:tcPr>
          <w:p>
            <w:r>
              <w:t>Islamic</w:t>
            </w:r>
          </w:p>
        </w:tc>
        <w:tc>
          <w:tcPr>
            <w:tcW w:type="dxa" w:w="1234"/>
          </w:tcPr>
          <w:p>
            <w:r>
              <w:t>I0</w:t>
            </w:r>
          </w:p>
        </w:tc>
        <w:tc>
          <w:tcPr>
            <w:tcW w:type="dxa" w:w="1234"/>
          </w:tcPr>
          <w:p>
            <w:r>
              <w:t>0.0255</w:t>
            </w:r>
          </w:p>
        </w:tc>
        <w:tc>
          <w:tcPr>
            <w:tcW w:type="dxa" w:w="1234"/>
          </w:tcPr>
          <w:p>
            <w:r>
              <w:t>0.9745</w:t>
            </w:r>
          </w:p>
        </w:tc>
        <w:tc>
          <w:tcPr>
            <w:tcW w:type="dxa" w:w="1234"/>
          </w:tcPr>
          <w:p>
            <w:r>
              <w:t>I0</w:t>
            </w:r>
          </w:p>
        </w:tc>
        <w:tc>
          <w:tcPr>
            <w:tcW w:type="dxa" w:w="1234"/>
          </w:tcPr>
          <w:p>
            <w:r>
              <w:t>0.0212</w:t>
            </w:r>
          </w:p>
        </w:tc>
        <w:tc>
          <w:tcPr>
            <w:tcW w:type="dxa" w:w="1234"/>
          </w:tcPr>
          <w:p>
            <w:r>
              <w:t>0.9788</w:t>
            </w:r>
          </w:p>
        </w:tc>
      </w:tr>
      <w:tr>
        <w:tc>
          <w:tcPr>
            <w:tcW w:type="dxa" w:w="1234"/>
          </w:tcPr>
          <w:p>
            <w:r>
              <w:t>Other Western</w:t>
            </w:r>
          </w:p>
        </w:tc>
        <w:tc>
          <w:tcPr>
            <w:tcW w:type="dxa" w:w="1234"/>
          </w:tcPr>
          <w:p>
            <w:r>
              <w:t>I0</w:t>
            </w:r>
          </w:p>
        </w:tc>
        <w:tc>
          <w:tcPr>
            <w:tcW w:type="dxa" w:w="1234"/>
          </w:tcPr>
          <w:p>
            <w:r>
              <w:t>0.3319</w:t>
            </w:r>
          </w:p>
        </w:tc>
        <w:tc>
          <w:tcPr>
            <w:tcW w:type="dxa" w:w="1234"/>
          </w:tcPr>
          <w:p>
            <w:r>
              <w:t>0.6681</w:t>
            </w:r>
          </w:p>
        </w:tc>
        <w:tc>
          <w:tcPr>
            <w:tcW w:type="dxa" w:w="1234"/>
          </w:tcPr>
          <w:p>
            <w:r>
              <w:t>I0</w:t>
            </w:r>
          </w:p>
        </w:tc>
        <w:tc>
          <w:tcPr>
            <w:tcW w:type="dxa" w:w="1234"/>
          </w:tcPr>
          <w:p>
            <w:r>
              <w:t>0.3074</w:t>
            </w:r>
          </w:p>
        </w:tc>
        <w:tc>
          <w:tcPr>
            <w:tcW w:type="dxa" w:w="1234"/>
          </w:tcPr>
          <w:p>
            <w:r>
              <w:t>0.6926</w:t>
            </w:r>
          </w:p>
        </w:tc>
      </w:tr>
      <w:tr>
        <w:tc>
          <w:tcPr>
            <w:tcW w:type="dxa" w:w="1234"/>
          </w:tcPr>
          <w:p>
            <w:r>
              <w:t>Other Civilizations</w:t>
            </w:r>
          </w:p>
        </w:tc>
        <w:tc>
          <w:tcPr>
            <w:tcW w:type="dxa" w:w="1234"/>
          </w:tcPr>
          <w:p>
            <w:r>
              <w:t>I0</w:t>
            </w:r>
          </w:p>
        </w:tc>
        <w:tc>
          <w:tcPr>
            <w:tcW w:type="dxa" w:w="1234"/>
          </w:tcPr>
          <w:p>
            <w:r>
              <w:t>0.0349</w:t>
            </w:r>
          </w:p>
        </w:tc>
        <w:tc>
          <w:tcPr>
            <w:tcW w:type="dxa" w:w="1234"/>
          </w:tcPr>
          <w:p>
            <w:r>
              <w:t>0.9651</w:t>
            </w:r>
          </w:p>
        </w:tc>
        <w:tc>
          <w:tcPr>
            <w:tcW w:type="dxa" w:w="1234"/>
          </w:tcPr>
          <w:p>
            <w:r>
              <w:t>I0</w:t>
            </w:r>
          </w:p>
        </w:tc>
        <w:tc>
          <w:tcPr>
            <w:tcW w:type="dxa" w:w="1234"/>
          </w:tcPr>
          <w:p>
            <w:r>
              <w:t>0.0312</w:t>
            </w:r>
          </w:p>
        </w:tc>
        <w:tc>
          <w:tcPr>
            <w:tcW w:type="dxa" w:w="1234"/>
          </w:tcPr>
          <w:p>
            <w:r>
              <w:t>0.9688</w:t>
            </w:r>
          </w:p>
        </w:tc>
      </w:tr>
    </w:tbl>
    <w:p>
      <w:pPr>
        <w:jc w:val="center"/>
      </w:pPr>
      <w:r>
        <w:rPr>
          <w:i/>
        </w:rPr>
        <w:t>Table 5a. Closest PNR lever and proximity under linear and saturating endogenous inflow (active-pool threshold).</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Supplementary Table 5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The mean observed annual transition rates by group between 2000 and 2016, distinguishing early-career outflow (α), return (β), domestic and abroad hit generation (h_D, h_A), PI promotion (p_D), dropout (d), and total inflow (I_total), are provided in Supplementary Table 3. Similarly, the cross-origin-destination pairs with the largest accumulation of abroad author-years are listed in Supplementary Table 4. These supplementary tables keep the main text focused on the PNR and policy conclusions while preserving the empirical detail needed for replication and extension.</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pPr>
        <w:pStyle w:val="Heading2"/>
      </w:pPr>
      <w:r>
        <w:t>5.7 Out-of-sample projection, 2017-2023</w:t>
      </w:r>
    </w:p>
    <w:p>
      <w:r>
        <w:t>The 2017-2023 projection is compared with observed annual stocks in Figure 7. Stock-level accuracy is RMSE 10190.39 and MAPE 129.0% (a non-standard, conservative measure computed against count_obs + 1 to avoid division by zero). These stock-level metrics are not a fair test of the model: the estimation cohort is fixed to authors whose careers began by 2016, so observed post-2016 counts cannot include the new entrants that the projection adds each year. The projection therefore necessarily diverges from observed stocks for any civilisation with positive recruitment. A cleaner validation is at the rate level: the projected transition rates have RMSE 0.0892 and MAE 0.0364, and the model's skill relative to a historical-mean baseline is 0.99. By rate, the best relative skill is for h_A (1.48× the historical-mean RMSE), while the weakest is for p_D (0.66×). These figures show that the annual layer captures rate drift at least as well as a naive mean forecast, and should be read as a directional early-warning indicator of drift and threshold proximity rather than as a precise population forecast.</w:t>
      </w:r>
    </w:p>
    <w:p>
      <w:r>
        <w:t xml:space="preserve">Direction and threshold-alarm diagnostics support this interpretation. </w:t>
      </w:r>
      <w:r>
        <w:t xml:space="preserve">Year-to-year direction agreement between projected and observed compartment counts is 21.6%, ranging from Hindu to Japanese. </w:t>
      </w:r>
      <w:r>
        <w:t xml:space="preserve">For the active pool T = D + H_D + P_D, the projection correctly classifies whether T is below the minimum viable threshold M in 92.1% of group-years (sensitivity 0.0%, specificity 100.0%). The observed threshold-crossing group-years (n = 5) all occur for the smallest civilisation in the post-2016 fixed cohort; they reflect the depletion of that cohort as careers mature, not a projected collapse. The projection, by construction, adds new entrants each year and therefore does not predict such within-cohort depletion. A zero sensitivity in this hold-out is thus a consequence of the fixed-cohort validation design, not evidence that the model misses genuine collapse events. </w:t>
      </w:r>
      <w:r>
        <w:t>These metrics confirm that the annual layer is useful for directional and threshold-crossing surveillance, not for precise population counts. The modest year-to-year direction-agreement value is expected for small compartments and sparse transitions, and it reinforces that the projection layer should be treated as a drift-and-threshold alarm rather than a population forecast.</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 Japan is presented here as an illustrative case; the same diagnostic can be applied to any civilisation with sufficient OpenAlex coverage.</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[19]</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into policy levers: α through retention fellowships and junior faculty positions; β through return grants and dual appointments; h_D through independent-lab programmes such as SPREAD; p_D through tenure-track conversion and startup packages; and d through childcare, dual-career support, and stable non-tenure tracks.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 The Japan-specific analysis is intended as a worked example; the same rate-ladder diagnostic can be applied to any civilisation with sufficient OpenAlex coverage.</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[20]</w:t>
      </w:r>
      <w:r>
        <w:t>, in which the central question is not only who wins the current round but whether the global system retains enough diversity for future rounds</w:t>
      </w:r>
      <w:r>
        <w:rPr>
          <w:vertAlign w:val="superscript"/>
        </w:rPr>
        <w:t xml:space="preserve"> [21]</w:t>
      </w:r>
      <w:r>
        <w:t>. If the response lag is short enough, the model can be updated annually and divergence caught before any single civilisation approaches a PNR. It is therefore a tool for ensuring that no single civilisation reaches a self-sustaining collapse, and that the global AI/ML system retains the diversity required for continued innovation. We introduce the acronym SHIGA—Sustaining Heterogeneity through Interventions in Global AI/ML Researcher Mobility—formed from the title.</w:t>
      </w:r>
    </w:p>
    <w:p>
      <w:r>
        <w:t>Table 8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8.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8 maps each lever to the actors that control it: I0 and h_D are mainly owned by national funders and ministries; p_D and d by universities and department heads; and β by diaspora networks, return grants and private-sector recruiters. The model's management value is to rank which local rates most urgently need intervention and the proportional change needed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The modest year-to-year direction agreement in the 2017-2023 projection confirms that this layer is a drift-and-threshold alarm, not a precise population forecast.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State B, Park P, Weber I, Macy M. The mesh of civilizations in the global network of digital communication. PLoS ONE. 2015;10(5):e0122543. https://doi.org/10.1371/journal.pone.0122543</w:t>
      </w:r>
    </w:p>
    <w:p>
      <w:r>
        <w:t>18. Chinchilla-Rodríguez Z, Miao L, Murray D, Robinson-García N, Costas R, Sugimoto C R. A global comparison of scientific mobility and collaboration according to national scientific capacities. Front Res Metr Anal. 2018;3:17. https://doi.org/10.3389/frma.2018.00017</w:t>
      </w:r>
    </w:p>
    <w:p>
      <w:r>
        <w:t>19. Freeman R B, Huang W. Collaboration: Strength in diversity. Nature. 2014;513(7518):305. https://doi.org/10.1038/513305a</w:t>
      </w:r>
    </w:p>
    <w:p>
      <w:r>
        <w:t>20. Shachar A. The Race for Talent: Highly Skilled Migrants and Competitive Immigration Regimes. NYU Law Rev. 2006;81(1):148-206.</w:t>
      </w:r>
    </w:p>
    <w:p>
      <w:r>
        <w:t>21.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