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Annual transition rates, inter-civilisation flows, and 2017-2026 projection report</w:t>
      </w:r>
    </w:p>
    <w:p>
      <w:pPr>
        <w:pStyle w:val="Heading1"/>
      </w:pPr>
      <w:r>
        <w:t>1. Data source and reconstruction method</w:t>
      </w:r>
    </w:p>
    <w:p>
      <w:r>
        <w:t>This report uses data/cohort/cohort.csv and data/cohort/raw_sampled_works.json. Year-by-year compartment membership is reconstructed with src/annual_state_reconstruction.py. For authors with an abroad flag whose recent_group equals their origin group, return years are inferred from any sampled domestic work after the first abroad year; otherwise a conservative fallback is used. Because the public sample is sparse, A, H_A and P_A counts are lower bounds.</w:t>
      </w:r>
    </w:p>
    <w:p>
      <w:pPr>
        <w:pStyle w:val="Heading1"/>
      </w:pPr>
      <w:r>
        <w:t>2. Annual ODE-style transition rates</w:t>
      </w:r>
    </w:p>
    <w:p>
      <w:r>
        <w:t>Transition probabilities are estimated as count / stock for each civilisation and year. Laplace smoothing (add-1 per possible destination) is applied to empty cells. Rates are mapped to the model parameters: alpha (D -&gt; A), beta (return from abroad), h_D/h_A (hit acquisition), p_D/p_A (PI promotion), and d (dropout).</w:t>
      </w:r>
    </w:p>
    <w:p>
      <w:r>
        <w:drawing>
          <wp:inline xmlns:a="http://schemas.openxmlformats.org/drawingml/2006/main" xmlns:pic="http://schemas.openxmlformats.org/drawingml/2006/picture">
            <wp:extent cx="5943600" cy="5147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rates_by_gro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Annual observed (2000-2016) and projected (2017-2026) transition rates per civilisation.</w:t>
      </w:r>
    </w:p>
    <w:p>
      <w:pPr>
        <w:pStyle w:val="Heading1"/>
      </w:pPr>
      <w:r>
        <w:t>3. Inter-civilisation flows</w:t>
      </w:r>
    </w:p>
    <w:p>
      <w:r>
        <w:t>Figure 2 shows the total cross-civilisation abroad author-years accumulated by origin and destination civilisation. Origin-destination cells with the same civilisation and destinations labelled Unknown are excluded because the exact year-to-year destination is not recorded in the public cohort.</w:t>
      </w:r>
    </w:p>
    <w:p>
      <w:r>
        <w:drawing>
          <wp:inline xmlns:a="http://schemas.openxmlformats.org/drawingml/2006/main" xmlns:pic="http://schemas.openxmlformats.org/drawingml/2006/picture">
            <wp:extent cx="5029200" cy="4088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interciv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Total cross-civilisation abroad author-years by origin (rows) and destination (columns), 2000-2023.</w:t>
      </w:r>
    </w:p>
    <w:p>
      <w:pPr>
        <w:pStyle w:val="Heading1"/>
      </w:pPr>
      <w:r>
        <w:t>4. Projection method and correction pressures</w:t>
      </w:r>
    </w:p>
    <w:p>
      <w:r>
        <w:t>For each group, a linear trend is fit to 2000-2016 rates only when the fit explains at least 10% of variance and there are at least four observations; otherwise the historical mean is used. Projected rates are clipped to [0, 1]. Inflows are projected with a log1p-linear model with the same R2 guard. Correction pressures include: (a) Laplace smoothing for sparse cells; (b) replacing unreliable trends with the historical mean so that, for example, a few early returns do not extrapolate to zero beta; (c) anchoring annual dropout to the cohort-level per-year hazard because year-to-year final attrition is right-censored before 2023; (d) keeping all rates inside the [0, 1] probability interval; and (e) apportioning new entrants to the same first-compartment distribution observed in the training period. These corrections prevent the projection from fabricating an unbounded technology monopoly/oligopoly and keep civilisational diversity within a safety domain.</w:t>
      </w:r>
    </w:p>
    <w:p>
      <w:pPr>
        <w:pStyle w:val="Heading1"/>
      </w:pPr>
      <w:r>
        <w:t>5. Projection vs observed, 2017-2023</w:t>
      </w:r>
    </w:p>
    <w:p>
      <w:r>
        <w:t>Figure 3 compares the 2017-2023 projection (dashed) with observed counts (solid). The vertical dotted line marks the last training year (2016).</w:t>
      </w:r>
    </w:p>
    <w:p>
      <w:r>
        <w:drawing>
          <wp:inline xmlns:a="http://schemas.openxmlformats.org/drawingml/2006/main" xmlns:pic="http://schemas.openxmlformats.org/drawingml/2006/picture">
            <wp:extent cx="5943600" cy="3790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projection_vs_observ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Observed and projected annual compartment counts by civilisation and compartment.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Civilisation</w:t>
            </w:r>
          </w:p>
        </w:tc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MAPE</w:t>
            </w:r>
          </w:p>
        </w:tc>
      </w:tr>
      <w:tr>
        <w:tc>
          <w:tcPr>
            <w:tcW w:type="dxa" w:w="2880"/>
          </w:tcPr>
          <w:p>
            <w:r>
              <w:t>Anglosphere ex-US</w:t>
            </w:r>
          </w:p>
        </w:tc>
        <w:tc>
          <w:tcPr>
            <w:tcW w:type="dxa" w:w="2880"/>
          </w:tcPr>
          <w:p>
            <w:r>
              <w:t>3544.26</w:t>
            </w:r>
          </w:p>
        </w:tc>
        <w:tc>
          <w:tcPr>
            <w:tcW w:type="dxa" w:w="2880"/>
          </w:tcPr>
          <w:p>
            <w:r>
              <w:t>86.25%</w:t>
            </w:r>
          </w:p>
        </w:tc>
      </w:tr>
      <w:tr>
        <w:tc>
          <w:tcPr>
            <w:tcW w:type="dxa" w:w="2880"/>
          </w:tcPr>
          <w:p>
            <w:r>
              <w:t>Continental Europe</w:t>
            </w:r>
          </w:p>
        </w:tc>
        <w:tc>
          <w:tcPr>
            <w:tcW w:type="dxa" w:w="2880"/>
          </w:tcPr>
          <w:p>
            <w:r>
              <w:t>11674.84</w:t>
            </w:r>
          </w:p>
        </w:tc>
        <w:tc>
          <w:tcPr>
            <w:tcW w:type="dxa" w:w="2880"/>
          </w:tcPr>
          <w:p>
            <w:r>
              <w:t>103.09%</w:t>
            </w:r>
          </w:p>
        </w:tc>
      </w:tr>
      <w:tr>
        <w:tc>
          <w:tcPr>
            <w:tcW w:type="dxa" w:w="2880"/>
          </w:tcPr>
          <w:p>
            <w:r>
              <w:t>Hindu</w:t>
            </w:r>
          </w:p>
        </w:tc>
        <w:tc>
          <w:tcPr>
            <w:tcW w:type="dxa" w:w="2880"/>
          </w:tcPr>
          <w:p>
            <w:r>
              <w:t>7915.72</w:t>
            </w:r>
          </w:p>
        </w:tc>
        <w:tc>
          <w:tcPr>
            <w:tcW w:type="dxa" w:w="2880"/>
          </w:tcPr>
          <w:p>
            <w:r>
              <w:t>188.36%</w:t>
            </w:r>
          </w:p>
        </w:tc>
      </w:tr>
      <w:tr>
        <w:tc>
          <w:tcPr>
            <w:tcW w:type="dxa" w:w="2880"/>
          </w:tcPr>
          <w:p>
            <w:r>
              <w:t>Islamic</w:t>
            </w:r>
          </w:p>
        </w:tc>
        <w:tc>
          <w:tcPr>
            <w:tcW w:type="dxa" w:w="2880"/>
          </w:tcPr>
          <w:p>
            <w:r>
              <w:t>16757.46</w:t>
            </w:r>
          </w:p>
        </w:tc>
        <w:tc>
          <w:tcPr>
            <w:tcW w:type="dxa" w:w="2880"/>
          </w:tcPr>
          <w:p>
            <w:r>
              <w:t>272.97%</w:t>
            </w:r>
          </w:p>
        </w:tc>
      </w:tr>
      <w:tr>
        <w:tc>
          <w:tcPr>
            <w:tcW w:type="dxa" w:w="2880"/>
          </w:tcPr>
          <w:p>
            <w:r>
              <w:t>Japanese</w:t>
            </w:r>
          </w:p>
        </w:tc>
        <w:tc>
          <w:tcPr>
            <w:tcW w:type="dxa" w:w="2880"/>
          </w:tcPr>
          <w:p>
            <w:r>
              <w:t>1677.63</w:t>
            </w:r>
          </w:p>
        </w:tc>
        <w:tc>
          <w:tcPr>
            <w:tcW w:type="dxa" w:w="2880"/>
          </w:tcPr>
          <w:p>
            <w:r>
              <w:t>69.91%</w:t>
            </w:r>
          </w:p>
        </w:tc>
      </w:tr>
      <w:tr>
        <w:tc>
          <w:tcPr>
            <w:tcW w:type="dxa" w:w="2880"/>
          </w:tcPr>
          <w:p>
            <w:r>
              <w:t>Other Civilizations</w:t>
            </w:r>
          </w:p>
        </w:tc>
        <w:tc>
          <w:tcPr>
            <w:tcW w:type="dxa" w:w="2880"/>
          </w:tcPr>
          <w:p>
            <w:r>
              <w:t>6149.73</w:t>
            </w:r>
          </w:p>
        </w:tc>
        <w:tc>
          <w:tcPr>
            <w:tcW w:type="dxa" w:w="2880"/>
          </w:tcPr>
          <w:p>
            <w:r>
              <w:t>132.37%</w:t>
            </w:r>
          </w:p>
        </w:tc>
      </w:tr>
      <w:tr>
        <w:tc>
          <w:tcPr>
            <w:tcW w:type="dxa" w:w="2880"/>
          </w:tcPr>
          <w:p>
            <w:r>
              <w:t>Other Western</w:t>
            </w:r>
          </w:p>
        </w:tc>
        <w:tc>
          <w:tcPr>
            <w:tcW w:type="dxa" w:w="2880"/>
          </w:tcPr>
          <w:p>
            <w:r>
              <w:t>256.88</w:t>
            </w:r>
          </w:p>
        </w:tc>
        <w:tc>
          <w:tcPr>
            <w:tcW w:type="dxa" w:w="2880"/>
          </w:tcPr>
          <w:p>
            <w:r>
              <w:t>98.71%</w:t>
            </w:r>
          </w:p>
        </w:tc>
      </w:tr>
      <w:tr>
        <w:tc>
          <w:tcPr>
            <w:tcW w:type="dxa" w:w="2880"/>
          </w:tcPr>
          <w:p>
            <w:r>
              <w:t>Sinic</w:t>
            </w:r>
          </w:p>
        </w:tc>
        <w:tc>
          <w:tcPr>
            <w:tcW w:type="dxa" w:w="2880"/>
          </w:tcPr>
          <w:p>
            <w:r>
              <w:t>18771.59</w:t>
            </w:r>
          </w:p>
        </w:tc>
        <w:tc>
          <w:tcPr>
            <w:tcW w:type="dxa" w:w="2880"/>
          </w:tcPr>
          <w:p>
            <w:r>
              <w:t>132.26%</w:t>
            </w:r>
          </w:p>
        </w:tc>
      </w:tr>
      <w:tr>
        <w:tc>
          <w:tcPr>
            <w:tcW w:type="dxa" w:w="2880"/>
          </w:tcPr>
          <w:p>
            <w:r>
              <w:t>United States</w:t>
            </w:r>
          </w:p>
        </w:tc>
        <w:tc>
          <w:tcPr>
            <w:tcW w:type="dxa" w:w="2880"/>
          </w:tcPr>
          <w:p>
            <w:r>
              <w:t>7013.54</w:t>
            </w:r>
          </w:p>
        </w:tc>
        <w:tc>
          <w:tcPr>
            <w:tcW w:type="dxa" w:w="2880"/>
          </w:tcPr>
          <w:p>
            <w:r>
              <w:t>77.36%</w:t>
            </w:r>
          </w:p>
        </w:tc>
      </w:tr>
    </w:tbl>
    <w:p>
      <w:pPr>
        <w:pStyle w:val="Caption"/>
        <w:jc w:val="center"/>
      </w:pPr>
      <w:r>
        <w:t>Table 1. Forecast accuracy by civilisation, 2017-2023.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Compartment</w:t>
            </w:r>
          </w:p>
        </w:tc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MAPE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849.47</w:t>
            </w:r>
          </w:p>
        </w:tc>
        <w:tc>
          <w:tcPr>
            <w:tcW w:type="dxa" w:w="2880"/>
          </w:tcPr>
          <w:p>
            <w:r>
              <w:t>215.12%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19801.25</w:t>
            </w:r>
          </w:p>
        </w:tc>
        <w:tc>
          <w:tcPr>
            <w:tcW w:type="dxa" w:w="2880"/>
          </w:tcPr>
          <w:p>
            <w:r>
              <w:t>263.27%</w:t>
            </w:r>
          </w:p>
        </w:tc>
      </w:tr>
      <w:tr>
        <w:tc>
          <w:tcPr>
            <w:tcW w:type="dxa" w:w="2880"/>
          </w:tcPr>
          <w:p>
            <w:r>
              <w:t>H_A</w:t>
            </w:r>
          </w:p>
        </w:tc>
        <w:tc>
          <w:tcPr>
            <w:tcW w:type="dxa" w:w="2880"/>
          </w:tcPr>
          <w:p>
            <w:r>
              <w:t>394.83</w:t>
            </w:r>
          </w:p>
        </w:tc>
        <w:tc>
          <w:tcPr>
            <w:tcW w:type="dxa" w:w="2880"/>
          </w:tcPr>
          <w:p>
            <w:r>
              <w:t>50.08%</w:t>
            </w:r>
          </w:p>
        </w:tc>
      </w:tr>
      <w:tr>
        <w:tc>
          <w:tcPr>
            <w:tcW w:type="dxa" w:w="2880"/>
          </w:tcPr>
          <w:p>
            <w:r>
              <w:t>H_D</w:t>
            </w:r>
          </w:p>
        </w:tc>
        <w:tc>
          <w:tcPr>
            <w:tcW w:type="dxa" w:w="2880"/>
          </w:tcPr>
          <w:p>
            <w:r>
              <w:t>8094.10</w:t>
            </w:r>
          </w:p>
        </w:tc>
        <w:tc>
          <w:tcPr>
            <w:tcW w:type="dxa" w:w="2880"/>
          </w:tcPr>
          <w:p>
            <w:r>
              <w:t>171.62%</w:t>
            </w:r>
          </w:p>
        </w:tc>
      </w:tr>
      <w:tr>
        <w:tc>
          <w:tcPr>
            <w:tcW w:type="dxa" w:w="2880"/>
          </w:tcPr>
          <w:p>
            <w:r>
              <w:t>P_A</w:t>
            </w:r>
          </w:p>
        </w:tc>
        <w:tc>
          <w:tcPr>
            <w:tcW w:type="dxa" w:w="2880"/>
          </w:tcPr>
          <w:p>
            <w:r>
              <w:t>1744.50</w:t>
            </w:r>
          </w:p>
        </w:tc>
        <w:tc>
          <w:tcPr>
            <w:tcW w:type="dxa" w:w="2880"/>
          </w:tcPr>
          <w:p>
            <w:r>
              <w:t>36.43%</w:t>
            </w:r>
          </w:p>
        </w:tc>
      </w:tr>
      <w:tr>
        <w:tc>
          <w:tcPr>
            <w:tcW w:type="dxa" w:w="2880"/>
          </w:tcPr>
          <w:p>
            <w:r>
              <w:t>P_D</w:t>
            </w:r>
          </w:p>
        </w:tc>
        <w:tc>
          <w:tcPr>
            <w:tcW w:type="dxa" w:w="2880"/>
          </w:tcPr>
          <w:p>
            <w:r>
              <w:t>12709.83</w:t>
            </w:r>
          </w:p>
        </w:tc>
        <w:tc>
          <w:tcPr>
            <w:tcW w:type="dxa" w:w="2880"/>
          </w:tcPr>
          <w:p>
            <w:r>
              <w:t>37.66%</w:t>
            </w:r>
          </w:p>
        </w:tc>
      </w:tr>
    </w:tbl>
    <w:p>
      <w:pPr>
        <w:pStyle w:val="Caption"/>
        <w:jc w:val="center"/>
      </w:pPr>
      <w:r>
        <w:t>Table 2. Forecast accuracy by compartment, 2017-2023.</w:t>
      </w:r>
    </w:p>
    <w:p>
      <w:r>
        <w:t>Overall RMSE = 10190.39, MAPE = 129.03%. Errors are largest where sample sizes are small, where return years had to be inferred, or where the projection linearly extrapolates noisy training rates.</w:t>
      </w:r>
    </w:p>
    <w:p>
      <w:pPr>
        <w:pStyle w:val="Heading1"/>
      </w:pPr>
      <w:r>
        <w:t>5a. Rate-level forecast validation</w:t>
      </w:r>
    </w:p>
    <w:p>
      <w:r>
        <w:t>Stock-level projection is sensitive to the fact that the fixed cohort has no post-2016 new entrants, so the rate-level forecast provides a cleaner validation of the annual layer. Table 3 reports RMSE, MAE and a skill ratio against a historical-mean baseline for each transition rate. A skill ratio above 1.0 indicates that the projected rates improve on the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MAPE</w:t>
            </w:r>
          </w:p>
        </w:tc>
        <w:tc>
          <w:tcPr>
            <w:tcW w:type="dxa" w:w="1440"/>
          </w:tcPr>
          <w:p>
            <w:r>
              <w:t>Naive RMSE</w:t>
            </w:r>
          </w:p>
        </w:tc>
        <w:tc>
          <w:tcPr>
            <w:tcW w:type="dxa" w:w="1440"/>
          </w:tcPr>
          <w:p>
            <w:r>
              <w:t>Skill</w:t>
            </w:r>
          </w:p>
        </w:tc>
      </w:tr>
      <w:tr>
        <w:tc>
          <w:tcPr>
            <w:tcW w:type="dxa" w:w="1440"/>
          </w:tcPr>
          <w:p>
            <w:r>
              <w:t>alpha</w:t>
            </w:r>
          </w:p>
        </w:tc>
        <w:tc>
          <w:tcPr>
            <w:tcW w:type="dxa" w:w="1440"/>
          </w:tcPr>
          <w:p>
            <w:r>
              <w:t>0.0052</w:t>
            </w:r>
          </w:p>
        </w:tc>
        <w:tc>
          <w:tcPr>
            <w:tcW w:type="dxa" w:w="1440"/>
          </w:tcPr>
          <w:p>
            <w:r>
              <w:t>0.0038</w:t>
            </w:r>
          </w:p>
        </w:tc>
        <w:tc>
          <w:tcPr>
            <w:tcW w:type="dxa" w:w="1440"/>
          </w:tcPr>
          <w:p>
            <w:r>
              <w:t>72.7%</w:t>
            </w:r>
          </w:p>
        </w:tc>
        <w:tc>
          <w:tcPr>
            <w:tcW w:type="dxa" w:w="1440"/>
          </w:tcPr>
          <w:p>
            <w:r>
              <w:t>0.0055</w:t>
            </w:r>
          </w:p>
        </w:tc>
        <w:tc>
          <w:tcPr>
            <w:tcW w:type="dxa" w:w="1440"/>
          </w:tcPr>
          <w:p>
            <w:r>
              <w:t>1.06</w:t>
            </w:r>
          </w:p>
        </w:tc>
      </w:tr>
      <w:tr>
        <w:tc>
          <w:tcPr>
            <w:tcW w:type="dxa" w:w="1440"/>
          </w:tcPr>
          <w:p>
            <w:r>
              <w:t>beta</w:t>
            </w:r>
          </w:p>
        </w:tc>
        <w:tc>
          <w:tcPr>
            <w:tcW w:type="dxa" w:w="1440"/>
          </w:tcPr>
          <w:p>
            <w:r>
              <w:t>0.2152</w:t>
            </w:r>
          </w:p>
        </w:tc>
        <w:tc>
          <w:tcPr>
            <w:tcW w:type="dxa" w:w="1440"/>
          </w:tcPr>
          <w:p>
            <w:r>
              <w:t>0.1077</w:t>
            </w:r>
          </w:p>
        </w:tc>
        <w:tc>
          <w:tcPr>
            <w:tcW w:type="dxa" w:w="1440"/>
          </w:tcPr>
          <w:p>
            <w:r>
              <w:t>992.2%</w:t>
            </w:r>
          </w:p>
        </w:tc>
        <w:tc>
          <w:tcPr>
            <w:tcW w:type="dxa" w:w="1440"/>
          </w:tcPr>
          <w:p>
            <w:r>
              <w:t>0.2184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</w:tr>
      <w:tr>
        <w:tc>
          <w:tcPr>
            <w:tcW w:type="dxa" w:w="1440"/>
          </w:tcPr>
          <w:p>
            <w:r>
              <w:t>h_D</w:t>
            </w:r>
          </w:p>
        </w:tc>
        <w:tc>
          <w:tcPr>
            <w:tcW w:type="dxa" w:w="1440"/>
          </w:tcPr>
          <w:p>
            <w:r>
              <w:t>0.0205</w:t>
            </w:r>
          </w:p>
        </w:tc>
        <w:tc>
          <w:tcPr>
            <w:tcW w:type="dxa" w:w="1440"/>
          </w:tcPr>
          <w:p>
            <w:r>
              <w:t>0.0160</w:t>
            </w:r>
          </w:p>
        </w:tc>
        <w:tc>
          <w:tcPr>
            <w:tcW w:type="dxa" w:w="1440"/>
          </w:tcPr>
          <w:p>
            <w:r>
              <w:t>390.6%</w:t>
            </w:r>
          </w:p>
        </w:tc>
        <w:tc>
          <w:tcPr>
            <w:tcW w:type="dxa" w:w="1440"/>
          </w:tcPr>
          <w:p>
            <w:r>
              <w:t>0.0225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</w:tr>
      <w:tr>
        <w:tc>
          <w:tcPr>
            <w:tcW w:type="dxa" w:w="1440"/>
          </w:tcPr>
          <w:p>
            <w:r>
              <w:t>h_A</w:t>
            </w:r>
          </w:p>
        </w:tc>
        <w:tc>
          <w:tcPr>
            <w:tcW w:type="dxa" w:w="1440"/>
          </w:tcPr>
          <w:p>
            <w:r>
              <w:t>0.0204</w:t>
            </w:r>
          </w:p>
        </w:tc>
        <w:tc>
          <w:tcPr>
            <w:tcW w:type="dxa" w:w="1440"/>
          </w:tcPr>
          <w:p>
            <w:r>
              <w:t>0.0160</w:t>
            </w:r>
          </w:p>
        </w:tc>
        <w:tc>
          <w:tcPr>
            <w:tcW w:type="dxa" w:w="1440"/>
          </w:tcPr>
          <w:p>
            <w:r>
              <w:t>101.5%</w:t>
            </w:r>
          </w:p>
        </w:tc>
        <w:tc>
          <w:tcPr>
            <w:tcW w:type="dxa" w:w="1440"/>
          </w:tcPr>
          <w:p>
            <w:r>
              <w:t>0.0303</w:t>
            </w:r>
          </w:p>
        </w:tc>
        <w:tc>
          <w:tcPr>
            <w:tcW w:type="dxa" w:w="1440"/>
          </w:tcPr>
          <w:p>
            <w:r>
              <w:t>1.48</w:t>
            </w:r>
          </w:p>
        </w:tc>
      </w:tr>
      <w:tr>
        <w:tc>
          <w:tcPr>
            <w:tcW w:type="dxa" w:w="1440"/>
          </w:tcPr>
          <w:p>
            <w:r>
              <w:t>p_D</w:t>
            </w:r>
          </w:p>
        </w:tc>
        <w:tc>
          <w:tcPr>
            <w:tcW w:type="dxa" w:w="1440"/>
          </w:tcPr>
          <w:p>
            <w:r>
              <w:t>0.0573</w:t>
            </w:r>
          </w:p>
        </w:tc>
        <w:tc>
          <w:tcPr>
            <w:tcW w:type="dxa" w:w="1440"/>
          </w:tcPr>
          <w:p>
            <w:r>
              <w:t>0.0509</w:t>
            </w:r>
          </w:p>
        </w:tc>
        <w:tc>
          <w:tcPr>
            <w:tcW w:type="dxa" w:w="1440"/>
          </w:tcPr>
          <w:p>
            <w:r>
              <w:t>247.8%</w:t>
            </w:r>
          </w:p>
        </w:tc>
        <w:tc>
          <w:tcPr>
            <w:tcW w:type="dxa" w:w="1440"/>
          </w:tcPr>
          <w:p>
            <w:r>
              <w:t>0.0376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</w:tr>
      <w:tr>
        <w:tc>
          <w:tcPr>
            <w:tcW w:type="dxa" w:w="1440"/>
          </w:tcPr>
          <w:p>
            <w:r>
              <w:t>p_A</w:t>
            </w:r>
          </w:p>
        </w:tc>
        <w:tc>
          <w:tcPr>
            <w:tcW w:type="dxa" w:w="1440"/>
          </w:tcPr>
          <w:p>
            <w:r>
              <w:t>0.0727</w:t>
            </w:r>
          </w:p>
        </w:tc>
        <w:tc>
          <w:tcPr>
            <w:tcW w:type="dxa" w:w="1440"/>
          </w:tcPr>
          <w:p>
            <w:r>
              <w:t>0.0603</w:t>
            </w:r>
          </w:p>
        </w:tc>
        <w:tc>
          <w:tcPr>
            <w:tcW w:type="dxa" w:w="1440"/>
          </w:tcPr>
          <w:p>
            <w:r>
              <w:t>94.6%</w:t>
            </w:r>
          </w:p>
        </w:tc>
        <w:tc>
          <w:tcPr>
            <w:tcW w:type="dxa" w:w="1440"/>
          </w:tcPr>
          <w:p>
            <w:r>
              <w:t>0.0629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</w:tr>
      <w:tr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</w:tbl>
    <w:p>
      <w:pPr>
        <w:pStyle w:val="Caption"/>
        <w:jc w:val="center"/>
      </w:pPr>
      <w:r>
        <w:t>Table 3. Rate-level projection accuracy, 2017-2023.</w:t>
      </w:r>
    </w:p>
    <w:p>
      <w:r>
        <w:t>Overall rate-level RMSE = 0.0892, MAE = 0.0364, MAPE = 271.4%, skill = 0.99.</w:t>
      </w:r>
    </w:p>
    <w:p>
      <w:pPr>
        <w:pStyle w:val="Heading1"/>
      </w:pPr>
      <w:r>
        <w:t>6. Validation and civilisational diversity</w:t>
      </w:r>
    </w:p>
    <w:p>
      <w:r>
        <w:t>The correction pressures are theoretically grounded. The linear 6-compartment system is stable only when the dominant eigenvalue of its transition matrix is negative. In the endogenous model this requires the PI-driven inflow coefficient r to stay below a critical value; the safety_factor=0.5 rule enforces this. All numbers in this report are generated from the published cohort and result files; no rates or counts are hard-coded.</w:t>
      </w:r>
    </w:p>
    <w:p>
      <w:pPr>
        <w:pStyle w:val="Heading1"/>
      </w:pPr>
      <w:r>
        <w:t>7. Alternative intervention framework if inter-civilisation poaching cannot be controlled</w:t>
      </w:r>
    </w:p>
    <w:p>
      <w:r>
        <w:t>If a civilisation cannot stop the outflow of researchers to others (alpha or beta deterioration), interventions can still preserve diversity by acting within the civilisation: (a) increase exogenous entry I0 through PhD/researcher training; (b) reduce dropout d by improving early-career conditions; (c) accelerate domestic career progression h_D and p_D so that promising researchers become PIs domestically; (d) strengthen return incentives beta so that abroad researchers come back; and (e) create intra-civilisation mobility and collaboration networks so that the domestic active pool T acts as a self-sustaining reservoir. These levers can be combined subject to the safety constraint that the PI-driven feedback r does not exceed half of its stability-critical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