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— submission to Scientometrics</w:t>
      </w:r>
    </w:p>
    <w:p>
      <w:r>
        <w:t>Date: 2026-09-29</w:t>
      </w:r>
    </w:p>
    <w:p>
      <w:r>
        <w:t>To the Editors of Scientometrics,</w:t>
      </w:r>
    </w:p>
    <w:p>
      <w:r>
        <w:t>We submit the manuscript "When Scientific Output Falls: Distinguishing Scientific Capacity from Resource-Dependent Realization" for consideration as an Original Paper in Scientometrics.</w:t>
      </w:r>
    </w:p>
    <w:p>
      <w:r>
        <w:t>The paper's central contribution is a measurement distinction that is directly relevant to the journal's readership: national bibliometric indicators record realized scientific output, not latent scientific capacity, and the two diverge when the conversion of capability into visible publication is resource-dependent. Falling output therefore does not uniquely identify falling capacity — an interpretive issue at the core of national indicator use, exemplified by, but not limited to, the widely discussed Japanese case.</w:t>
      </w:r>
    </w:p>
    <w:p>
      <w:r>
        <w:t>Four aspects may interest Scientometrics reviewers and readers: (1) the analysis runs on an international country-by-field-by-year panel (52 countries, 26 OpenAlex fields, 2004-2023) rather than a single national series, with seven outcome strata spanning production, collaboration, dissemination, accessibility, and citation visibility — conceptually a state pathway from capacity to visibility, empirically a set of parallel outcome dimensions rather than a strictly nested sequence; (2) a field-level resource-intensity index built from seeded random samples of publication attributes shows that resource sensitivity concentrates exactly where resource dependence is largest, a gradient robust to index construction and to country-specific trends; (3) bounded author-level analyses quantify within-author reallocation between fields and show it is real but concentrated in a mobile minority; and (4) the interpretation is deliberately cautious — the level association is presented as a long-run relationship between persistent resource environments and realized output, not as evidence that short-term funding changes causally move output, and concurrent capacity deterioration cannot be excluded.</w:t>
      </w:r>
    </w:p>
    <w:p>
      <w:r>
        <w:t>All inputs are public (OpenAlex, OECD MSTI, World Bank); the full reproducibility pipeline, acquisition ledger, and processed datasets accompany the submission.</w:t>
      </w:r>
    </w:p>
    <w:p>
      <w:r>
        <w:t>The manuscript is original, is not under consideration elsewhere, and the author declares no competing interests.</w:t>
      </w:r>
    </w:p>
    <w:p>
      <w:r>
        <w:t>Sincerely,</w:t>
      </w:r>
    </w:p>
    <w:p>
      <w:r>
        <w:t>Onishi Tatsuki</w:t>
        <w:br/>
        <w:t>Data Science and AI Innovation Research Promotion Center, Shiga University</w:t>
        <w:br/>
        <w:t>1-1-1 Bamba, Hikone, Shiga 522-8522, Japan</w:t>
        <w:br/>
        <w:t>bougtoir@gmail.com</w:t>
        <w:br/>
        <w:t>ORCID: 0000-0001-7261-9062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