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line="276" w:lineRule="auto"/>
        <w:jc w:val="left"/>
      </w:pPr>
      <w:r>
        <w:rPr>
          <w:rFonts w:ascii="Times New Roman" w:hAnsi="Times New Roman"/>
          <w:b w:val="0"/>
          <w:i w:val="0"/>
          <w:sz w:val="24"/>
        </w:rPr>
        <w:t>June 19, 2026</w:t>
      </w:r>
    </w:p>
    <w:p>
      <w:pPr>
        <w:spacing w:after="0" w:before="0" w:line="276" w:lineRule="auto"/>
        <w:jc w:val="left"/>
      </w:pPr>
      <w:r>
        <w:rPr>
          <w:rFonts w:ascii="Times New Roman" w:hAnsi="Times New Roman"/>
          <w:b w:val="0"/>
          <w:i w:val="0"/>
          <w:sz w:val="24"/>
        </w:rPr>
        <w:t>Editor-in-Chief</w:t>
      </w:r>
    </w:p>
    <w:p>
      <w:pPr>
        <w:spacing w:after="0" w:before="0" w:line="276" w:lineRule="auto"/>
        <w:jc w:val="left"/>
      </w:pPr>
      <w:r>
        <w:rPr>
          <w:rFonts w:ascii="Times New Roman" w:hAnsi="Times New Roman"/>
          <w:b w:val="0"/>
          <w:i/>
          <w:sz w:val="24"/>
        </w:rPr>
        <w:t>Human Reproduction</w:t>
      </w:r>
    </w:p>
    <w:p>
      <w:pPr>
        <w:spacing w:after="360" w:before="0" w:line="276" w:lineRule="auto"/>
        <w:jc w:val="left"/>
      </w:pPr>
      <w:r>
        <w:rPr>
          <w:rFonts w:ascii="Times New Roman" w:hAnsi="Times New Roman"/>
          <w:b w:val="0"/>
          <w:i w:val="0"/>
          <w:sz w:val="24"/>
        </w:rPr>
        <w:t>European Society of Human Reproduction and Embryology (ESHRE)</w:t>
      </w:r>
    </w:p>
    <w:p>
      <w:pPr>
        <w:spacing w:after="240" w:before="0" w:line="276" w:lineRule="auto"/>
        <w:jc w:val="left"/>
      </w:pPr>
      <w:r>
        <w:rPr>
          <w:rFonts w:ascii="Times New Roman" w:hAnsi="Times New Roman"/>
          <w:b w:val="0"/>
          <w:i w:val="0"/>
          <w:sz w:val="24"/>
        </w:rPr>
        <w:t>Dear Editor-in-Chief,</w:t>
      </w:r>
    </w:p>
    <w:p>
      <w:pPr>
        <w:spacing w:after="240" w:before="0" w:line="276" w:lineRule="auto"/>
        <w:jc w:val="left"/>
      </w:pPr>
      <w:r>
        <w:rPr>
          <w:rFonts w:ascii="Times New Roman" w:hAnsi="Times New Roman"/>
          <w:b w:val="0"/>
          <w:i w:val="0"/>
          <w:sz w:val="24"/>
        </w:rPr>
        <w:t>We respectfully submit our manuscript entitled "The Invisible Variables: Uncontrolled Environmental Factors in Stem Cell Differentiation and the Fiscal-Year Artifact in Public Databases" for consideration as an Opinion article in Human Reproduction.</w:t>
      </w:r>
    </w:p>
    <w:p>
      <w:pPr>
        <w:spacing w:after="240" w:before="0" w:line="276" w:lineRule="auto"/>
        <w:jc w:val="left"/>
      </w:pPr>
      <w:r>
        <w:rPr>
          <w:rFonts w:ascii="Times New Roman" w:hAnsi="Times New Roman"/>
          <w:b w:val="0"/>
          <w:i w:val="0"/>
          <w:sz w:val="24"/>
        </w:rPr>
        <w:t>Scientific question: Can uncontrolled environmental variables in stem cell laboratories—humidity, volatile organic compounds (VOCs), ambient light, electromagnetic fields, and barometric pressure—explain a meaningful portion of the batch-to-batch variability that plagues pluripotent stem cell (PSC) differentiation, and does the apparent seasonal pattern in public research databases reflect a biological signal or an institutional artifact?</w:t>
      </w:r>
    </w:p>
    <w:p>
      <w:pPr>
        <w:spacing w:after="240" w:before="0" w:line="276" w:lineRule="auto"/>
        <w:jc w:val="left"/>
      </w:pPr>
      <w:r>
        <w:rPr>
          <w:rFonts w:ascii="Times New Roman" w:hAnsi="Times New Roman"/>
          <w:b w:val="0"/>
          <w:i w:val="0"/>
          <w:sz w:val="24"/>
        </w:rPr>
        <w:t>Principal new findings: We present three convergent lines of evidence. First, we synthesize recent literature demonstrating that PSCs are uniquely vulnerable to environmental perturbations at magnitudes that leave somatic cells unaffected—including osmotic stress, airborne pollutants, and circadian disruption. Second, we analyze 6,101 GEO PSC datasets and use a natural experiment exploiting geographic variation in academic year calendars (Japan March/April start vs. USA/Europe September start vs. Southern Hemisphere January start) to demonstrate that the apparent March peak in dataset submissions is driven entirely by Japan's fiscal year-end—an institutional artifact, not a biological signal. Third, we propose a concrete three-phase research roadmap for prospective environmental monitoring of PSC culture facilities.</w:t>
      </w:r>
    </w:p>
    <w:p>
      <w:pPr>
        <w:spacing w:after="240" w:before="0" w:line="276" w:lineRule="auto"/>
        <w:jc w:val="left"/>
      </w:pPr>
      <w:r>
        <w:rPr>
          <w:rFonts w:ascii="Times New Roman" w:hAnsi="Times New Roman"/>
          <w:b w:val="0"/>
          <w:i w:val="0"/>
          <w:sz w:val="24"/>
        </w:rPr>
        <w:t>Significance to the field: This work is directly relevant to Human Reproduction's readership for several reasons. (1) Our argument draws extensively on the IVF field's experience: Leathersich et al. (2023, Hum Reprod) showed that oocytes collected in summer yield 30% higher live birth rates, and Cai et al. (2025, Hum Reprod) demonstrated that VOC reduction improved blastocyst rates by 18%. We use these findings as proof-of-concept that environmental variables affect early-stage cell biology. (2) The methodological lesson—that public database "seasonality" can be an institutional artifact—is directly applicable to IVF registry studies that use treatment timing as a variable. (3) Our proposed monitoring framework, including hemisphere-inversion tests using HFEA and ANZARD registry data, represents actionable next steps for the reproductive medicine community.</w:t>
      </w:r>
    </w:p>
    <w:p>
      <w:pPr>
        <w:spacing w:after="240" w:before="0" w:line="276" w:lineRule="auto"/>
        <w:jc w:val="left"/>
      </w:pPr>
      <w:r>
        <w:rPr>
          <w:rFonts w:ascii="Times New Roman" w:hAnsi="Times New Roman"/>
          <w:b w:val="0"/>
          <w:i w:val="0"/>
          <w:sz w:val="24"/>
        </w:rPr>
        <w:t>This manuscript has not been published previously, is not under consideration elsewhere, and all authors have approved the submitted version. We have no conflicts of interest to declare.</w:t>
      </w:r>
    </w:p>
    <w:p>
      <w:pPr>
        <w:spacing w:after="240" w:before="0" w:line="276" w:lineRule="auto"/>
        <w:jc w:val="left"/>
      </w:pPr>
      <w:r>
        <w:rPr>
          <w:rFonts w:ascii="Times New Roman" w:hAnsi="Times New Roman"/>
          <w:b w:val="0"/>
          <w:i w:val="0"/>
          <w:sz w:val="24"/>
        </w:rPr>
        <w:t>We believe this Opinion will stimulate important discussion about environmental quality control in both stem cell and IVF laboratories, and we hope you will find it suitable for Human Reproduction.</w:t>
      </w:r>
    </w:p>
    <w:p>
      <w:pPr>
        <w:spacing w:after="480" w:before="0" w:line="276" w:lineRule="auto"/>
        <w:jc w:val="left"/>
      </w:pPr>
      <w:r>
        <w:rPr>
          <w:rFonts w:ascii="Times New Roman" w:hAnsi="Times New Roman"/>
          <w:b w:val="0"/>
          <w:i w:val="0"/>
          <w:sz w:val="24"/>
        </w:rPr>
        <w:t>Sincerely,</w:t>
      </w:r>
    </w:p>
    <w:p>
      <w:pPr>
        <w:spacing w:after="0" w:before="0" w:line="276" w:lineRule="auto"/>
        <w:jc w:val="left"/>
      </w:pPr>
      <w:r>
        <w:rPr>
          <w:rFonts w:ascii="Times New Roman" w:hAnsi="Times New Roman"/>
          <w:b w:val="0"/>
          <w:i w:val="0"/>
          <w:sz w:val="24"/>
        </w:rPr>
        <w:t>[Corresponding author name]</w:t>
      </w:r>
    </w:p>
    <w:p>
      <w:pPr>
        <w:spacing w:after="0" w:before="0" w:line="276" w:lineRule="auto"/>
        <w:jc w:val="left"/>
      </w:pPr>
      <w:r>
        <w:rPr>
          <w:rFonts w:ascii="Times New Roman" w:hAnsi="Times New Roman"/>
          <w:b w:val="0"/>
          <w:i w:val="0"/>
          <w:sz w:val="24"/>
        </w:rPr>
        <w:t>[Affiliation]</w:t>
      </w:r>
    </w:p>
    <w:p>
      <w:pPr>
        <w:spacing w:after="0" w:before="0" w:line="276" w:lineRule="auto"/>
        <w:jc w:val="left"/>
      </w:pPr>
      <w:r>
        <w:rPr>
          <w:rFonts w:ascii="Times New Roman" w:hAnsi="Times New Roman"/>
          <w:b w:val="0"/>
          <w:i w:val="0"/>
          <w:sz w:val="24"/>
        </w:rPr>
        <w:t>[Email address]</w:t>
      </w:r>
    </w:p>
    <w:p>
      <w:pPr>
        <w:spacing w:after="0" w:before="0" w:line="276" w:lineRule="auto"/>
        <w:jc w:val="left"/>
      </w:pPr>
      <w:r>
        <w:rPr>
          <w:rFonts w:ascii="Times New Roman" w:hAnsi="Times New Roman"/>
          <w:b w:val="0"/>
          <w:i w:val="0"/>
          <w:sz w:val="24"/>
        </w:rPr>
        <w:t>[ORCID 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