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006699"/>
          <w:sz w:val="22"/>
        </w:rPr>
        <w:t>Perspective</w:t>
      </w:r>
    </w:p>
    <w:p>
      <w:pPr>
        <w:spacing w:after="240" w:before="480" w:line="480" w:lineRule="auto"/>
        <w:jc w:val="both"/>
      </w:pPr>
      <w:r>
        <w:rPr>
          <w:rFonts w:ascii="Arial" w:hAnsi="Arial"/>
          <w:b/>
          <w:sz w:val="32"/>
        </w:rPr>
        <w:t>The Invisible Variables: Why Clonal Systems Are Not Immune to Environmental Confounding</w:t>
      </w:r>
    </w:p>
    <w:p>
      <w:pPr>
        <w:spacing w:after="480" w:before="0" w:line="480" w:lineRule="auto"/>
        <w:jc w:val="both"/>
      </w:pPr>
      <w:r>
        <w:rPr>
          <w:rFonts w:ascii="Arial" w:hAnsi="Arial"/>
          <w:i/>
          <w:sz w:val="22"/>
        </w:rPr>
        <w:t>[Author names and affiliations to be added]</w:t>
      </w:r>
    </w:p>
    <w:p>
      <w:pPr>
        <w:spacing w:after="120" w:before="0" w:line="480" w:lineRule="auto"/>
        <w:jc w:val="both"/>
      </w:pPr>
      <w:r>
        <w:rPr>
          <w:rFonts w:ascii="Arial" w:hAnsi="Arial"/>
          <w:b/>
          <w:sz w:val="22"/>
        </w:rPr>
        <w:t xml:space="preserve">Correspondence: </w:t>
      </w:r>
      <w:r>
        <w:rPr>
          <w:rFonts w:ascii="Arial" w:hAnsi="Arial"/>
          <w:i/>
          <w:sz w:val="22"/>
        </w:rPr>
        <w:t>[Corresponding author email]</w:t>
      </w:r>
    </w:p>
    <w:p>
      <w:pPr>
        <w:pStyle w:val="Heading2"/>
      </w:pPr>
      <w:r>
        <w:rPr>
          <w:color w:val="000000"/>
        </w:rPr>
        <w:t>Abstract</w:t>
      </w:r>
    </w:p>
    <w:p>
      <w:pPr>
        <w:spacing w:after="120" w:before="0" w:line="480" w:lineRule="auto"/>
        <w:jc w:val="both"/>
      </w:pPr>
      <w:r>
        <w:rPr>
          <w:rFonts w:ascii="Arial" w:hAnsi="Arial"/>
          <w:sz w:val="22"/>
        </w:rPr>
        <w:t>Pluripotent stem cell (PSC) differentiation protocols suffer from persistent batch-to-batch variability that impedes both basic research and clinical manufacturing. We argue that this variability has a methodological blind spot: multiple environmental variables—humidity, volatile organic compounds (VOCs), ambient light, electromagnetic fields, and barometric pressure—remain unmonitored in most laboratories. The clonal nature of PSC research creates a false sense of experimental control; genetic homogeneity does not eliminate environmental confounding. We draw on two precedents where environmental control transformed outcomes: artisanal baking and IVF embryology. A natural experiment using 6,101 GEO datasets reveals that apparent seasonality in public databases is an institutional artifact, not a biological signal. We propose IoT-based multi-parameter environmental monitoring as a systematic method to identify which invisible variables matter.</w:t>
      </w:r>
    </w:p>
    <w:p>
      <w:pPr>
        <w:pStyle w:val="Heading2"/>
      </w:pPr>
      <w:r>
        <w:rPr>
          <w:color w:val="000000"/>
        </w:rPr>
        <w:t>The methodological blind spot</w:t>
      </w:r>
    </w:p>
    <w:p>
      <w:pPr>
        <w:spacing w:after="120" w:before="0" w:line="480" w:lineRule="auto"/>
        <w:jc w:val="both"/>
      </w:pPr>
      <w:r>
        <w:rPr>
          <w:rFonts w:ascii="Arial" w:hAnsi="Arial"/>
          <w:sz w:val="22"/>
        </w:rPr>
        <w:t>Pluripotent stem cell (PSC)-derived therapies are advancing rapidly, with over 115 trials and 1,200 patients dosed as of 2024</w:t>
      </w:r>
      <w:r>
        <w:rPr>
          <w:rFonts w:ascii="Arial" w:hAnsi="Arial"/>
          <w:sz w:val="18"/>
          <w:vertAlign w:val="superscript"/>
        </w:rPr>
        <w:t>1</w:t>
      </w:r>
      <w:r>
        <w:rPr>
          <w:rFonts w:ascii="Arial" w:hAnsi="Arial"/>
          <w:sz w:val="22"/>
        </w:rPr>
        <w:t>. Yet differentiation protocols remain notoriously variable across laboratories and even between batches within a single group</w:t>
      </w:r>
      <w:r>
        <w:rPr>
          <w:rFonts w:ascii="Arial" w:hAnsi="Arial"/>
          <w:sz w:val="18"/>
          <w:vertAlign w:val="superscript"/>
        </w:rPr>
        <w:t>2–5</w:t>
      </w:r>
      <w:r>
        <w:rPr>
          <w:rFonts w:ascii="Arial" w:hAnsi="Arial"/>
          <w:sz w:val="22"/>
        </w:rPr>
        <w:t>. The field has invested enormously in optimizing controllable recipe variables—growth factors, small molecules, extracellular matrices, and timing—while largely ignoring the kitchen in which these recipes are executed.</w:t>
      </w:r>
    </w:p>
    <w:p>
      <w:pPr>
        <w:spacing w:after="120" w:before="0" w:line="480" w:lineRule="auto"/>
        <w:jc w:val="both"/>
      </w:pPr>
      <w:r>
        <w:rPr>
          <w:rFonts w:ascii="Arial" w:hAnsi="Arial"/>
          <w:sz w:val="22"/>
        </w:rPr>
        <w:t>Consider an analogy. For decades, artisanal bread quality varied unpredictably between batches until industrial bakeries recognized that controlling only oven temperature was insufficient; ambient humidity, dough temperature during proofing, and air quality were equally critical. The in vitro fertilization (IVF) field underwent an analogous revolution when it discovered that volatile organic compounds (VOCs) in embryology laboratories were a major determinant of blastocyst formation rates: reducing VOCs increased blastocyst rates by 18% and live birth rates by 8%</w:t>
      </w:r>
      <w:r>
        <w:rPr>
          <w:rFonts w:ascii="Arial" w:hAnsi="Arial"/>
          <w:sz w:val="18"/>
          <w:vertAlign w:val="superscript"/>
        </w:rPr>
        <w:t>6,7</w:t>
      </w:r>
      <w:r>
        <w:rPr>
          <w:rFonts w:ascii="Arial" w:hAnsi="Arial"/>
          <w:sz w:val="22"/>
        </w:rPr>
        <w:t>. Today’s PSC laboratory resembles the pre-industrial bakery: we control incubator temperature (37°C) and CO₂ (5%) but leave humidity, VOCs, ambient light, electromagnetic fields (EMF), and barometric pressure entirely unmonitored.</w:t>
      </w:r>
    </w:p>
    <w:p>
      <w:pPr>
        <w:spacing w:after="120" w:before="0" w:line="480" w:lineRule="auto"/>
        <w:jc w:val="both"/>
      </w:pPr>
      <w:r>
        <w:rPr>
          <w:rFonts w:ascii="Arial" w:hAnsi="Arial"/>
          <w:sz w:val="22"/>
        </w:rPr>
        <w:t>A deeper methodological issue compounds the problem. Research using clonal systems—isogenic cell lines, inbred mice, genetically identical iPSC clones—operates under the implicit assumption that genetic homogeneity renders complex confounding adjustment unnecessary. Because the genetic background is ‘controlled,’ investigators rarely apply the stratification, regression, or sensitivity analyses that epidemiologists would consider mandatory for observational data. This creates a blind spot: non-genetic confounders (environmental, institutional, temporal) are neither measured nor adjusted for, because the clonal paradigm implies they should not exist. We term this the ‘clonal complacency trap’—the methodological assumption that genetic uniformity guarantees experimental uniformity.</w:t>
      </w:r>
    </w:p>
    <w:p>
      <w:pPr>
        <w:spacing w:after="120" w:before="0" w:line="480" w:lineRule="auto"/>
        <w:jc w:val="both"/>
      </w:pPr>
      <w:r>
        <w:rPr>
          <w:rFonts w:ascii="Arial" w:hAnsi="Arial"/>
          <w:sz w:val="22"/>
        </w:rPr>
        <w:t>The scale of the problem is not trivial. Multi-site reproducibility studies consistently report substantial inter-laboratory variation in PSC differentiation outcomes even when nominally identical protocols are followed</w:t>
      </w:r>
      <w:r>
        <w:rPr>
          <w:rFonts w:ascii="Arial" w:hAnsi="Arial"/>
          <w:sz w:val="18"/>
          <w:vertAlign w:val="superscript"/>
        </w:rPr>
        <w:t>3</w:t>
      </w:r>
      <w:r>
        <w:rPr>
          <w:rFonts w:ascii="Arial" w:hAnsi="Arial"/>
          <w:sz w:val="22"/>
        </w:rPr>
        <w:t>. Volpato et al. found that laboratory-of-origin was the dominant source of variance in iPSC-derived neuron transcriptomes, exceeding the effect of genetic background or differentiation batch. Current explanations invoke differences in operator technique, reagent lots, and passage number—but these account for only a fraction of the observed variance. We propose that uncontrolled environmental differences between laboratories constitute a missing explanatory variable.</w:t>
      </w:r>
    </w:p>
    <w:p>
      <w:pPr>
        <w:spacing w:after="120" w:before="0" w:line="480" w:lineRule="auto"/>
        <w:jc w:val="both"/>
      </w:pPr>
      <w:r>
        <w:rPr>
          <w:rFonts w:ascii="Arial" w:hAnsi="Arial"/>
          <w:sz w:val="22"/>
        </w:rPr>
        <w:t>This proposal is neither speculative nor unprecedented. The IVF field underwent a parallel revolution when it recognized that air quality in embryology laboratories was a major determinant of blastocyst formation rates</w:t>
      </w:r>
      <w:r>
        <w:rPr>
          <w:rFonts w:ascii="Arial" w:hAnsi="Arial"/>
          <w:sz w:val="18"/>
          <w:vertAlign w:val="superscript"/>
        </w:rPr>
        <w:t>6,7</w:t>
      </w:r>
      <w:r>
        <w:rPr>
          <w:rFonts w:ascii="Arial" w:hAnsi="Arial"/>
          <w:sz w:val="22"/>
        </w:rPr>
        <w:t>. Prior to this insight, unexplained clinic-to-clinic variation in IVF success rates was attributed to operator skill and patient selection; after implementing VOC filtration and environmental controls, many laboratories saw 10–20% improvements in outcomes</w:t>
      </w:r>
      <w:r>
        <w:rPr>
          <w:rFonts w:ascii="Arial" w:hAnsi="Arial"/>
          <w:sz w:val="18"/>
          <w:vertAlign w:val="superscript"/>
        </w:rPr>
        <w:t>6</w:t>
      </w:r>
      <w:r>
        <w:rPr>
          <w:rFonts w:ascii="Arial" w:hAnsi="Arial"/>
          <w:sz w:val="22"/>
        </w:rPr>
        <w:t>. We argue that the PSC field is at a similar inflection point, with the added advantage that modern IoT sensor technology makes comprehensive environmental monitoring far cheaper and easier than it was for IVF laboratories two decades ago.</w:t>
      </w:r>
    </w:p>
    <w:p>
      <w:pPr>
        <w:pStyle w:val="Heading2"/>
      </w:pPr>
      <w:r>
        <w:rPr>
          <w:color w:val="000000"/>
        </w:rPr>
        <w:t>Two precedents: when controlling the kitchen transformed outcomes</w:t>
      </w:r>
    </w:p>
    <w:p>
      <w:pPr>
        <w:spacing w:after="120" w:before="0" w:line="480" w:lineRule="auto"/>
        <w:jc w:val="both"/>
      </w:pPr>
      <w:r>
        <w:rPr>
          <w:rFonts w:ascii="Arial" w:hAnsi="Arial"/>
          <w:sz w:val="22"/>
        </w:rPr>
        <w:t>The IVF field provides the strongest existing precedent. Before systematic environmental control, unexplained clinic-to-clinic variation in success rates was attributed to operator skill and patient selection. After implementing VOC filtration and positive-pressure air handling</w:t>
      </w:r>
      <w:r>
        <w:rPr>
          <w:rFonts w:ascii="Arial" w:hAnsi="Arial"/>
          <w:sz w:val="18"/>
          <w:vertAlign w:val="superscript"/>
        </w:rPr>
        <w:t>8</w:t>
      </w:r>
      <w:r>
        <w:rPr>
          <w:rFonts w:ascii="Arial" w:hAnsi="Arial"/>
          <w:sz w:val="22"/>
        </w:rPr>
        <w:t>, many laboratories saw 10–20% improvements in outcomes</w:t>
      </w:r>
      <w:r>
        <w:rPr>
          <w:rFonts w:ascii="Arial" w:hAnsi="Arial"/>
          <w:sz w:val="18"/>
          <w:vertAlign w:val="superscript"/>
        </w:rPr>
        <w:t>6</w:t>
      </w:r>
      <w:r>
        <w:rPr>
          <w:rFonts w:ascii="Arial" w:hAnsi="Arial"/>
          <w:sz w:val="22"/>
        </w:rPr>
        <w:t>. Cai et al. demonstrated through real-time VOC monitoring that even low concentrations linearly predicted decreased blastocyst quality, and that the effect was specific to fresh embryos—frozen embryos were unaffected—indicating that early-stage cells are selectively vulnerable</w:t>
      </w:r>
      <w:r>
        <w:rPr>
          <w:rFonts w:ascii="Arial" w:hAnsi="Arial"/>
          <w:sz w:val="18"/>
          <w:vertAlign w:val="superscript"/>
        </w:rPr>
        <w:t>7</w:t>
      </w:r>
      <w:r>
        <w:rPr>
          <w:rFonts w:ascii="Arial" w:hAnsi="Arial"/>
          <w:sz w:val="22"/>
        </w:rPr>
        <w:t>.</w:t>
      </w:r>
    </w:p>
    <w:p>
      <w:pPr>
        <w:spacing w:after="120" w:before="0" w:line="480" w:lineRule="auto"/>
        <w:jc w:val="both"/>
      </w:pPr>
      <w:r>
        <w:rPr>
          <w:rFonts w:ascii="Arial" w:hAnsi="Arial"/>
          <w:sz w:val="22"/>
        </w:rPr>
        <w:t>Seasonal patterns in IVF outcomes provide further evidence. Leathersich et al. analyzed 3,659 frozen embryo transfer cycles in Perth, Australia (33°S), finding that oocytes collected in summer had 30% higher live birth rates than those collected in autumn</w:t>
      </w:r>
      <w:r>
        <w:rPr>
          <w:rFonts w:ascii="Arial" w:hAnsi="Arial"/>
          <w:sz w:val="18"/>
          <w:vertAlign w:val="superscript"/>
        </w:rPr>
        <w:t>9</w:t>
      </w:r>
      <w:r>
        <w:rPr>
          <w:rFonts w:ascii="Arial" w:hAnsi="Arial"/>
          <w:sz w:val="22"/>
        </w:rPr>
        <w:t>. Crucially, only the season at oocyte collection mattered—not the season of transfer—establishing that the effect acts on the gamete/early embryo rather than on implantation. Northern Hemisphere studies report concordant summer advantages</w:t>
      </w:r>
      <w:r>
        <w:rPr>
          <w:rFonts w:ascii="Arial" w:hAnsi="Arial"/>
          <w:sz w:val="18"/>
          <w:vertAlign w:val="superscript"/>
        </w:rPr>
        <w:t>10</w:t>
      </w:r>
      <w:r>
        <w:rPr>
          <w:rFonts w:ascii="Arial" w:hAnsi="Arial"/>
          <w:sz w:val="22"/>
        </w:rPr>
        <w:t>, and a Brazilian study at 23°S confirms the expected six-month phase shift</w:t>
      </w:r>
      <w:r>
        <w:rPr>
          <w:rFonts w:ascii="Arial" w:hAnsi="Arial"/>
          <w:sz w:val="18"/>
          <w:vertAlign w:val="superscript"/>
        </w:rPr>
        <w:t>11</w:t>
      </w:r>
      <w:r>
        <w:rPr>
          <w:rFonts w:ascii="Arial" w:hAnsi="Arial"/>
          <w:sz w:val="22"/>
        </w:rPr>
        <w:t>. Although a meta-analysis found minimal overall effects in pooled data</w:t>
      </w:r>
      <w:r>
        <w:rPr>
          <w:rFonts w:ascii="Arial" w:hAnsi="Arial"/>
          <w:sz w:val="18"/>
          <w:vertAlign w:val="superscript"/>
        </w:rPr>
        <w:t>12</w:t>
      </w:r>
      <w:r>
        <w:rPr>
          <w:rFonts w:ascii="Arial" w:hAnsi="Arial"/>
          <w:sz w:val="22"/>
        </w:rPr>
        <w:t>, Wang et al. provided direct experimental evidence in mice: embryos cultured during summer showed the ‘two-cell block’ phenomenon, while winter embryos developed normally</w:t>
      </w:r>
      <w:r>
        <w:rPr>
          <w:rFonts w:ascii="Arial" w:hAnsi="Arial"/>
          <w:sz w:val="18"/>
          <w:vertAlign w:val="superscript"/>
        </w:rPr>
        <w:t>13</w:t>
      </w:r>
      <w:r>
        <w:rPr>
          <w:rFonts w:ascii="Arial" w:hAnsi="Arial"/>
          <w:sz w:val="22"/>
        </w:rPr>
        <w:t>.</w:t>
      </w:r>
    </w:p>
    <w:p>
      <w:pPr>
        <w:spacing w:after="120" w:before="0" w:line="480" w:lineRule="auto"/>
        <w:jc w:val="both"/>
      </w:pPr>
      <w:r>
        <w:rPr>
          <w:rFonts w:ascii="Arial" w:hAnsi="Arial"/>
          <w:sz w:val="22"/>
        </w:rPr>
        <w:t>The IVF evidence is particularly instructive because it provides a causal structure: the season at oocyte collection affects outcomes, but the season at embryo transfer does not</w:t>
      </w:r>
      <w:r>
        <w:rPr>
          <w:rFonts w:ascii="Arial" w:hAnsi="Arial"/>
          <w:sz w:val="18"/>
          <w:vertAlign w:val="superscript"/>
        </w:rPr>
        <w:t>9</w:t>
      </w:r>
      <w:r>
        <w:rPr>
          <w:rFonts w:ascii="Arial" w:hAnsi="Arial"/>
          <w:sz w:val="22"/>
        </w:rPr>
        <w:t>. This temporal dissection implies that the environmental effect acts during a specific developmental window—oocyte maturation and early cleavage—rather than through a general mechanism affecting all cells at all times</w:t>
      </w:r>
      <w:r>
        <w:rPr>
          <w:rFonts w:ascii="Arial" w:hAnsi="Arial"/>
          <w:sz w:val="18"/>
          <w:vertAlign w:val="superscript"/>
        </w:rPr>
        <w:t>9</w:t>
      </w:r>
      <w:r>
        <w:rPr>
          <w:rFonts w:ascii="Arial" w:hAnsi="Arial"/>
          <w:sz w:val="22"/>
        </w:rPr>
        <w:t>. PSC differentiation protocols, which recapitulate aspects of early embryonic lineage commitment over 7–30 days, would be expected to share this window-specific vulnerability. The parallel is not merely analogical: iPSCs undergoing directed differentiation traverse epigenetic states homologous to those of the early embryo, including the exit from naive pluripotency, lineage priming, and specification—each potentially gated by the same environmental sensitivities that affect preimplantation development.</w:t>
      </w:r>
    </w:p>
    <w:p>
      <w:pPr>
        <w:spacing w:after="120" w:before="0" w:line="480" w:lineRule="auto"/>
        <w:jc w:val="both"/>
      </w:pPr>
      <w:r>
        <w:rPr>
          <w:rFonts w:ascii="Arial" w:hAnsi="Arial"/>
          <w:sz w:val="22"/>
        </w:rPr>
        <w:t>These precedents share a common lesson: what was attributed to inherent biological stochasticity turned out to be partly environmental and correctable. The PSC field has not yet had its ‘VOC moment’—the discovery that a specific, measurable environmental variable explains a meaningful fraction of unexplained variability.</w:t>
      </w:r>
    </w:p>
    <w:p>
      <w:pPr>
        <w:pStyle w:val="Heading2"/>
      </w:pPr>
      <w:r>
        <w:rPr>
          <w:color w:val="000000"/>
        </w:rPr>
        <w:t>Why pluripotent stem cells are uniquely vulnerable</w:t>
      </w:r>
    </w:p>
    <w:p>
      <w:pPr>
        <w:spacing w:after="120" w:before="0" w:line="480" w:lineRule="auto"/>
        <w:jc w:val="both"/>
      </w:pPr>
      <w:r>
        <w:rPr>
          <w:rFonts w:ascii="Arial" w:hAnsi="Arial"/>
          <w:sz w:val="22"/>
        </w:rPr>
        <w:t>The premise that uncontrolled environmental factors could meaningfully affect PSC differentiation—while being negligible for established cell lines—requires justification. Several lines of evidence support this claim.</w:t>
      </w:r>
    </w:p>
    <w:p>
      <w:pPr>
        <w:spacing w:after="120" w:before="0" w:line="480" w:lineRule="auto"/>
        <w:jc w:val="both"/>
      </w:pPr>
      <w:r>
        <w:rPr>
          <w:rFonts w:ascii="Arial" w:hAnsi="Arial"/>
          <w:sz w:val="22"/>
        </w:rPr>
        <w:t>First, PSCs display markedly greater chemical sensitivity than differentiated cells. Panina et al. demonstrated that human iPS cells are approximately 1.5-fold more sensitive to drug exposure than ES cells, and both are several-fold less resistant than non-pluripotent cell types</w:t>
      </w:r>
      <w:r>
        <w:rPr>
          <w:rFonts w:ascii="Arial" w:hAnsi="Arial"/>
          <w:sz w:val="18"/>
          <w:vertAlign w:val="superscript"/>
        </w:rPr>
        <w:t>14</w:t>
      </w:r>
      <w:r>
        <w:rPr>
          <w:rFonts w:ascii="Arial" w:hAnsi="Arial"/>
          <w:sz w:val="22"/>
        </w:rPr>
        <w:t>. Critically, naive-state induction further increased sensitivity, establishing a gradient: the more undifferentiated the cell, the more vulnerable it is to environmental perturbation.</w:t>
      </w:r>
    </w:p>
    <w:p>
      <w:pPr>
        <w:spacing w:after="120" w:before="0" w:line="480" w:lineRule="auto"/>
        <w:jc w:val="both"/>
      </w:pPr>
      <w:r>
        <w:rPr>
          <w:rFonts w:ascii="Arial" w:hAnsi="Arial"/>
          <w:sz w:val="22"/>
        </w:rPr>
        <w:t>Second, osmotic perturbations of surprisingly small magnitude can gate cell fate transitions. McCreery et al. showed that compaction-triggered changes in nuclear shape and volume in human iPSCs remodel chromatin architecture and prime cells for ectodermal differentiation</w:t>
      </w:r>
      <w:r>
        <w:rPr>
          <w:rFonts w:ascii="Arial" w:hAnsi="Arial"/>
          <w:sz w:val="18"/>
          <w:vertAlign w:val="superscript"/>
        </w:rPr>
        <w:t>15</w:t>
      </w:r>
      <w:r>
        <w:rPr>
          <w:rFonts w:ascii="Arial" w:hAnsi="Arial"/>
          <w:sz w:val="22"/>
        </w:rPr>
        <w:t>. During biosafety cabinet work, culture medium evaporates at rates determined by ambient humidity, producing osmolarity increases that could cross these thresholds. Chui et al. confirmed that hyperosmotic culture drives NF-κB and WNT signaling-dependent cell cycle exit and maturation</w:t>
      </w:r>
      <w:r>
        <w:rPr>
          <w:rFonts w:ascii="Arial" w:hAnsi="Arial"/>
          <w:sz w:val="18"/>
          <w:vertAlign w:val="superscript"/>
        </w:rPr>
        <w:t>16</w:t>
      </w:r>
      <w:r>
        <w:rPr>
          <w:rFonts w:ascii="Arial" w:hAnsi="Arial"/>
          <w:sz w:val="22"/>
        </w:rPr>
        <w:t>—meaning osmolarity changes of physiological magnitude are not merely stress events but active differentiation signals.</w:t>
      </w:r>
    </w:p>
    <w:p>
      <w:pPr>
        <w:spacing w:after="120" w:before="0" w:line="480" w:lineRule="auto"/>
        <w:jc w:val="both"/>
      </w:pPr>
      <w:r>
        <w:rPr>
          <w:rFonts w:ascii="Arial" w:hAnsi="Arial"/>
          <w:sz w:val="22"/>
        </w:rPr>
        <w:t>Third, PSCs depend on circadian clock components in a non-canonical manner. CRY1 is dramatically upregulated in iPSCs and ESCs compared to somatic cells, and its deletion impairs self-renewal and disrupts differentiation</w:t>
      </w:r>
      <w:r>
        <w:rPr>
          <w:rFonts w:ascii="Arial" w:hAnsi="Arial"/>
          <w:sz w:val="18"/>
          <w:vertAlign w:val="superscript"/>
        </w:rPr>
        <w:t>17</w:t>
      </w:r>
      <w:r>
        <w:rPr>
          <w:rFonts w:ascii="Arial" w:hAnsi="Arial"/>
          <w:sz w:val="22"/>
        </w:rPr>
        <w:t>. BMAL1 coordinates energy metabolism and differentiation independently of circadian oscillation, which is suppressed in pluripotent cells</w:t>
      </w:r>
      <w:r>
        <w:rPr>
          <w:rFonts w:ascii="Arial" w:hAnsi="Arial"/>
          <w:sz w:val="18"/>
          <w:vertAlign w:val="superscript"/>
        </w:rPr>
        <w:t>18</w:t>
      </w:r>
      <w:r>
        <w:rPr>
          <w:rFonts w:ascii="Arial" w:hAnsi="Arial"/>
          <w:sz w:val="22"/>
        </w:rPr>
        <w:t>. Consistent with this, daily light and darkness onset metabolically synchronize hematopoietic stem cell differentiation and maintenance</w:t>
      </w:r>
      <w:r>
        <w:rPr>
          <w:rFonts w:ascii="Arial" w:hAnsi="Arial"/>
          <w:sz w:val="18"/>
          <w:vertAlign w:val="superscript"/>
        </w:rPr>
        <w:t>19</w:t>
      </w:r>
      <w:r>
        <w:rPr>
          <w:rFonts w:ascii="Arial" w:hAnsi="Arial"/>
          <w:sz w:val="22"/>
        </w:rPr>
        <w:t>, suggesting that light-sensitive circadian pathways are broadly relevant to stem cell biology beyond the pluripotent compartment. This architecture—dependence on clock molecules without functional clock oscillation—may render PSCs vulnerable to external zeitgeber inputs (e.g., ambient light leaking into incubators or biosafety cabinets) that would not perturb differentiated cells with intact circadian buffering.</w:t>
      </w:r>
    </w:p>
    <w:p>
      <w:pPr>
        <w:spacing w:after="120" w:before="0" w:line="480" w:lineRule="auto"/>
        <w:jc w:val="both"/>
      </w:pPr>
      <w:r>
        <w:rPr>
          <w:rFonts w:ascii="Arial" w:hAnsi="Arial"/>
          <w:sz w:val="22"/>
        </w:rPr>
        <w:t>Fourth, airborne pollutants affect PSCs at concentrations that leave somatic cells unharmed. Fine particulate matter (PM2.5) downregulates pluripotency markers (NANOG, OCT4) in human ESCs through ROS-mediated AKT/ERK signaling</w:t>
      </w:r>
      <w:r>
        <w:rPr>
          <w:rFonts w:ascii="Arial" w:hAnsi="Arial"/>
          <w:sz w:val="18"/>
          <w:vertAlign w:val="superscript"/>
        </w:rPr>
        <w:t>20</w:t>
      </w:r>
      <w:r>
        <w:rPr>
          <w:rFonts w:ascii="Arial" w:hAnsi="Arial"/>
          <w:sz w:val="22"/>
        </w:rPr>
        <w:t>. Electromagnetic fields from incubator heaters, freezer compressors, and building wiring (50/60 Hz) alter gene expression in mouse ESCs</w:t>
      </w:r>
      <w:r>
        <w:rPr>
          <w:rFonts w:ascii="Arial" w:hAnsi="Arial"/>
          <w:sz w:val="18"/>
          <w:vertAlign w:val="superscript"/>
        </w:rPr>
        <w:t>21</w:t>
      </w:r>
      <w:r>
        <w:rPr>
          <w:rFonts w:ascii="Arial" w:hAnsi="Arial"/>
          <w:sz w:val="22"/>
        </w:rPr>
        <w:t>, though effect sizes under typical laboratory conditions remain uncharacterized.</w:t>
      </w:r>
    </w:p>
    <w:p>
      <w:pPr>
        <w:spacing w:after="120" w:before="0" w:line="480" w:lineRule="auto"/>
        <w:jc w:val="both"/>
      </w:pPr>
      <w:r>
        <w:rPr>
          <w:rFonts w:ascii="Arial" w:hAnsi="Arial"/>
          <w:sz w:val="22"/>
        </w:rPr>
        <w:t>Together, these findings establish a coherent picture: PSCs are intrinsically more sensitive to environmental perturbation than differentiated cells because of their open chromatin state, rapid proliferation, dependence on clock-associated proteins, and susceptibility to osmotic gating of fate decisions. The key point is not that any single perturbation is catastrophic, but that PSCs sit at an energetically shallow decision landscape where subtle environmental shifts can tip the balance between self-renewal and lineage commitment. What is unknown is the real-world magnitude of these effects in working laboratories. This gap exists not because the question is unanswerable, but because no one has yet systematically measured the relevant variables alongside differentiation outcomes.</w:t>
      </w:r>
    </w:p>
    <w:p>
      <w:pPr>
        <w:pStyle w:val="Heading2"/>
      </w:pPr>
      <w:r>
        <w:rPr>
          <w:color w:val="000000"/>
        </w:rPr>
        <w:t>A catalogue of uncontrolled variables</w:t>
      </w:r>
    </w:p>
    <w:p>
      <w:pPr>
        <w:spacing w:after="120" w:before="0" w:line="480" w:lineRule="auto"/>
        <w:jc w:val="both"/>
      </w:pPr>
      <w:r>
        <w:rPr>
          <w:rFonts w:ascii="Arial" w:hAnsi="Arial"/>
          <w:sz w:val="22"/>
        </w:rPr>
        <w:t>A comprehensive environmental assessment of a Japanese cell-processing facility revealed that while temperature was maintained constant year-round, humidity tracked outdoor seasonal patterns, peaking in summer and reaching troughs in winter</w:t>
      </w:r>
      <w:r>
        <w:rPr>
          <w:rFonts w:ascii="Arial" w:hAnsi="Arial"/>
          <w:sz w:val="18"/>
          <w:vertAlign w:val="superscript"/>
        </w:rPr>
        <w:t>22</w:t>
      </w:r>
      <w:r>
        <w:rPr>
          <w:rFonts w:ascii="Arial" w:hAnsi="Arial"/>
          <w:sz w:val="22"/>
        </w:rPr>
        <w:t>. Industry guidelines confirm that seasonal transitions substantially increase microbial contamination risk</w:t>
      </w:r>
      <w:r>
        <w:rPr>
          <w:rFonts w:ascii="Arial" w:hAnsi="Arial"/>
          <w:sz w:val="18"/>
          <w:vertAlign w:val="superscript"/>
        </w:rPr>
        <w:t>23</w:t>
      </w:r>
      <w:r>
        <w:rPr>
          <w:rFonts w:ascii="Arial" w:hAnsi="Arial"/>
          <w:sz w:val="22"/>
        </w:rPr>
        <w:t>. VOC concentrations in laboratories are determined by building materials, disinfectants, and HVAC systems, with off-gassing rates that are strongly temperature- and humidity-dependent—introducing a seasonal component</w:t>
      </w:r>
      <w:r>
        <w:rPr>
          <w:rFonts w:ascii="Arial" w:hAnsi="Arial"/>
          <w:sz w:val="18"/>
          <w:vertAlign w:val="superscript"/>
        </w:rPr>
        <w:t>7</w:t>
      </w:r>
      <w:r>
        <w:rPr>
          <w:rFonts w:ascii="Arial" w:hAnsi="Arial"/>
          <w:sz w:val="22"/>
        </w:rPr>
        <w:t>. Ambient light exposure occurs during every biosafety cabinet manipulation, with duration and intensity varying by laboratory design and season (longer daylight hours in summer). Given CRY1’s role in maintaining pluripotency</w:t>
      </w:r>
      <w:r>
        <w:rPr>
          <w:rFonts w:ascii="Arial" w:hAnsi="Arial"/>
          <w:sz w:val="18"/>
          <w:vertAlign w:val="superscript"/>
        </w:rPr>
        <w:t>17</w:t>
      </w:r>
      <w:r>
        <w:rPr>
          <w:rFonts w:ascii="Arial" w:hAnsi="Arial"/>
          <w:sz w:val="22"/>
        </w:rPr>
        <w:t>, even brief light exposure during passage or feeding could introduce stochastic variation in differentiation priming. Cosmic ray flux shows solar-cycle modulation with additional seasonal components</w:t>
      </w:r>
      <w:r>
        <w:rPr>
          <w:rFonts w:ascii="Arial" w:hAnsi="Arial"/>
          <w:sz w:val="18"/>
          <w:vertAlign w:val="superscript"/>
        </w:rPr>
        <w:t>24</w:t>
      </w:r>
      <w:r>
        <w:rPr>
          <w:rFonts w:ascii="Arial" w:hAnsi="Arial"/>
          <w:sz w:val="22"/>
        </w:rPr>
        <w:t>.</w:t>
      </w:r>
    </w:p>
    <w:p>
      <w:pPr>
        <w:spacing w:after="120" w:before="0" w:line="480" w:lineRule="auto"/>
        <w:jc w:val="both"/>
      </w:pPr>
      <w:r>
        <w:rPr>
          <w:rFonts w:ascii="Arial" w:hAnsi="Arial"/>
          <w:sz w:val="22"/>
        </w:rPr>
        <w:t>Barometric pressure fluctuations deserve particular attention. Low-pressure weather systems reduce the partial pressure of dissolved gases in culture media and alter gas exchange kinetics in non-equilibrated incubators. These fluctuations are acute (hours), large (up to 30 hPa during cyclones), and entirely uncompensated in standard CO₂ incubators. Although direct evidence linking barometric pressure to PSC differentiation is lacking, the sensitivity of pH-dependent signaling pathways (e.g., Wnt, Hedgehog) to dissolved CO₂ concentrations suggests a plausible mechanism. Similarly, building vibration from HVAC systems, foot traffic, and nearby construction transmits mechanical stress to cultured cells—and recent work demonstrates that mechanical compression can modulate nuclear mechanics and differentiation timing in hiPSCs</w:t>
      </w:r>
      <w:r>
        <w:rPr>
          <w:rFonts w:ascii="Arial" w:hAnsi="Arial"/>
          <w:sz w:val="18"/>
          <w:vertAlign w:val="superscript"/>
        </w:rPr>
        <w:t>15</w:t>
      </w:r>
      <w:r>
        <w:rPr>
          <w:rFonts w:ascii="Arial" w:hAnsi="Arial"/>
          <w:sz w:val="22"/>
        </w:rPr>
        <w:t>.</w:t>
      </w:r>
    </w:p>
    <w:p>
      <w:pPr>
        <w:spacing w:after="120" w:before="0" w:line="480" w:lineRule="auto"/>
        <w:jc w:val="both"/>
      </w:pPr>
      <w:r>
        <w:rPr>
          <w:rFonts w:ascii="Arial" w:hAnsi="Arial"/>
          <w:sz w:val="22"/>
        </w:rPr>
        <w:t>Each of these variables exhibits characteristic seasonal patterns that create a complex, latitude-dependent forcing function no PSC laboratory currently monitors (Figure 1). The combination of uncontrolled environmental signals means that ostensibly identical experiments performed in January and July—or in Boston and Brisbane—may face systematically different environmental contexts that are invisible to the experimentalist.</w:t>
      </w:r>
    </w:p>
    <w:p>
      <w:pPr>
        <w:pStyle w:val="Heading2"/>
      </w:pPr>
      <w:r>
        <w:rPr>
          <w:color w:val="000000"/>
        </w:rPr>
        <w:t>The clonal complacency trap</w:t>
      </w:r>
    </w:p>
    <w:p>
      <w:pPr>
        <w:spacing w:after="120" w:before="0" w:line="480" w:lineRule="auto"/>
        <w:jc w:val="both"/>
      </w:pPr>
      <w:r>
        <w:rPr>
          <w:rFonts w:ascii="Arial" w:hAnsi="Arial"/>
          <w:sz w:val="22"/>
        </w:rPr>
        <w:t>The clonal nature of PSC research creates a distinctive methodological hazard. In observational epidemiology, researchers routinely adjust for confounders because the heterogeneity of study populations demands it. In clonal systems, genetic uniformity creates the impression that confounding has been eliminated by design. This is a logical error: genetic homogeneity controls for genetic confounders but does nothing to control for environmental, temporal, or institutional confounders.</w:t>
      </w:r>
    </w:p>
    <w:p>
      <w:pPr>
        <w:spacing w:after="120" w:before="0" w:line="480" w:lineRule="auto"/>
        <w:jc w:val="both"/>
      </w:pPr>
      <w:r>
        <w:rPr>
          <w:rFonts w:ascii="Arial" w:hAnsi="Arial"/>
          <w:sz w:val="22"/>
        </w:rPr>
        <w:t>The consequence is that PSC researchers typically do not record, report, or adjust for variables such as the season of experiment, laboratory humidity, or building renovation status. When batch-to-batch variation occurs, it is attributed to ‘biological stochasticity’ or ‘technical variability’—catch-all terms that may conceal systematic environmental effects. The IVF field operated under precisely this assumption until VOC monitoring revealed that much of the ‘random’ variation in blastocyst rates was environmentally determined</w:t>
      </w:r>
      <w:r>
        <w:rPr>
          <w:rFonts w:ascii="Arial" w:hAnsi="Arial"/>
          <w:sz w:val="18"/>
          <w:vertAlign w:val="superscript"/>
        </w:rPr>
        <w:t>6,7</w:t>
      </w:r>
      <w:r>
        <w:rPr>
          <w:rFonts w:ascii="Arial" w:hAnsi="Arial"/>
          <w:sz w:val="22"/>
        </w:rPr>
        <w:t>.</w:t>
      </w:r>
    </w:p>
    <w:p>
      <w:pPr>
        <w:spacing w:after="120" w:before="0" w:line="480" w:lineRule="auto"/>
        <w:jc w:val="both"/>
      </w:pPr>
      <w:r>
        <w:rPr>
          <w:rFonts w:ascii="Arial" w:hAnsi="Arial"/>
          <w:sz w:val="22"/>
        </w:rPr>
        <w:t>This trap has implications beyond individual laboratories. When multi-site reproducibility studies report that laboratory-of-origin is the dominant source of variance</w:t>
      </w:r>
      <w:r>
        <w:rPr>
          <w:rFonts w:ascii="Arial" w:hAnsi="Arial"/>
          <w:sz w:val="18"/>
          <w:vertAlign w:val="superscript"/>
        </w:rPr>
        <w:t>3</w:t>
      </w:r>
      <w:r>
        <w:rPr>
          <w:rFonts w:ascii="Arial" w:hAnsi="Arial"/>
          <w:sz w:val="22"/>
        </w:rPr>
        <w:t>, the standard interpretation is that protocols are insufficiently detailed. But if environmental variables differ systematically between sites—as they inevitably do, given differences in building age, HVAC systems, altitude, latitude, and local climate—then protocol harmonization alone cannot achieve reproducibility. The method is incomplete without environmental context.</w:t>
      </w:r>
    </w:p>
    <w:p>
      <w:pPr>
        <w:spacing w:after="120" w:before="0" w:line="480" w:lineRule="auto"/>
        <w:jc w:val="both"/>
      </w:pPr>
      <w:r>
        <w:rPr>
          <w:rFonts w:ascii="Arial" w:hAnsi="Arial"/>
          <w:sz w:val="22"/>
        </w:rPr>
        <w:t>The analogy to epidemiology is precise. An epidemiologist studying health outcomes across cities would never assume that genetic similarity among study populations eliminates confounding from air quality, water supply, or altitude. Yet stem cell biologists routinely compare differentiation outcomes across laboratories in different cities—sometimes different continents—without recording or adjusting for any environmental covariate. The clonal complacency trap is, in essence, a category error: treating genetic control as sufficient for experimental control.</w:t>
      </w:r>
    </w:p>
    <w:p>
      <w:pPr>
        <w:pStyle w:val="Heading2"/>
      </w:pPr>
      <w:r>
        <w:rPr>
          <w:color w:val="000000"/>
        </w:rPr>
        <w:t>A natural experiment reveals institutional confounding in clonal data</w:t>
      </w:r>
    </w:p>
    <w:p>
      <w:pPr>
        <w:spacing w:after="120" w:before="0" w:line="480" w:lineRule="auto"/>
        <w:jc w:val="both"/>
      </w:pPr>
      <w:r>
        <w:rPr>
          <w:rFonts w:ascii="Arial" w:hAnsi="Arial"/>
          <w:sz w:val="22"/>
        </w:rPr>
        <w:t>To test whether institutional rhythms confound clonal research data, we analyzed submission dates for 6,101 PSC differentiation datasets deposited in NCBI GEO</w:t>
      </w:r>
      <w:r>
        <w:rPr>
          <w:rFonts w:ascii="Arial" w:hAnsi="Arial"/>
          <w:sz w:val="18"/>
          <w:vertAlign w:val="superscript"/>
        </w:rPr>
        <w:t>25</w:t>
      </w:r>
      <w:r>
        <w:rPr>
          <w:rFonts w:ascii="Arial" w:hAnsi="Arial"/>
          <w:sz w:val="22"/>
        </w:rPr>
        <w:t xml:space="preserve"> between 2001 and 2026 (search query: ‘iPSC OR ESC differentiation’; inclusion: all dataset types with valid submission dates). The overall distribution was significantly non-uniform (χ²=32.3, df=11, p=0.0007) with a pronounced March peak—superficially consistent with a spring photoperiod advantage.</w:t>
      </w:r>
    </w:p>
    <w:p>
      <w:pPr>
        <w:spacing w:after="120" w:before="0" w:line="480" w:lineRule="auto"/>
        <w:jc w:val="both"/>
      </w:pPr>
      <w:r>
        <w:rPr>
          <w:rFonts w:ascii="Arial" w:hAnsi="Arial"/>
          <w:sz w:val="22"/>
        </w:rPr>
        <w:t>We exploited a natural experiment: geographic variation in academic/fiscal year calendars. Countries were grouped by academic year start: Japan/South Korea (March/April, n=250), USA/Europe/China (September/October, n=2,825), and Australia/New Zealand/Brazil (January/February, Southern Hemisphere, n=83). Using Pearson’s χ² and circular Rayleigh tests</w:t>
      </w:r>
      <w:r>
        <w:rPr>
          <w:rFonts w:ascii="Arial" w:hAnsi="Arial"/>
          <w:sz w:val="18"/>
          <w:vertAlign w:val="superscript"/>
        </w:rPr>
        <w:t>26</w:t>
      </w:r>
      <w:r>
        <w:rPr>
          <w:rFonts w:ascii="Arial" w:hAnsi="Arial"/>
          <w:sz w:val="22"/>
        </w:rPr>
        <w:t>, we found a striking dissociation (Figure 1).</w:t>
      </w:r>
    </w:p>
    <w:p>
      <w:pPr>
        <w:spacing w:after="120" w:before="0" w:line="480" w:lineRule="auto"/>
        <w:jc w:val="both"/>
      </w:pPr>
      <w:r>
        <w:rPr>
          <w:rFonts w:ascii="Arial" w:hAnsi="Arial"/>
          <w:sz w:val="22"/>
        </w:rPr>
        <w:t>Only the Japan/South Korea group showed significant seasonality (χ²=32.8, df=11, p=0.0006, Rayleigh R=0.172) with a March peak perfectly aligned with Japan’s fiscal year-end. The much larger September-start group showed no significant seasonal pattern (χ²=15.0, p=0.13). Japan—just 3.3% of total datasets—drove the overall signal entirely: excluding Japan eliminated statistical significance (p=0.128).</w:t>
      </w:r>
    </w:p>
    <w:p>
      <w:pPr>
        <w:spacing w:after="120" w:before="0" w:line="480" w:lineRule="auto"/>
        <w:jc w:val="both"/>
      </w:pPr>
      <w:r>
        <w:rPr>
          <w:rFonts w:ascii="Arial" w:hAnsi="Arial"/>
          <w:sz w:val="22"/>
        </w:rPr>
        <w:t>This result carries a critical methodological lesson. What appeared to be evidence of seasonal biological influence on stem cell research was in fact an artifact of Japan’s March 31 fiscal year-end, which creates a rush to submit manuscripts and deposit data before annual reporting deadlines. Japan contributed only 3.3% of total datasets (200/6,101) but accounted for 15% of all March submissions—a nearly two-fold over-representation relative to its overall share. The fiscal year-end effect is well-documented in Japanese academic culture: grant reports are due by March 31, creating institutional pressure to finalize data and publications before the deadline.</w:t>
      </w:r>
    </w:p>
    <w:p>
      <w:pPr>
        <w:spacing w:after="120" w:before="0" w:line="480" w:lineRule="auto"/>
        <w:jc w:val="both"/>
      </w:pPr>
      <w:r>
        <w:rPr>
          <w:rFonts w:ascii="Arial" w:hAnsi="Arial"/>
          <w:sz w:val="22"/>
        </w:rPr>
        <w:t>The broader implication extends beyond stem cell biology. Any field that relies on publication or data-deposition timing as a proxy for experimental timing risks confounding institutional rhythms with biological ones. GEO submission dates reflect a complex convolution of experiment timing, analysis duration, writing, peer review, and institutional incentives—with a typical lag of 6–18 months from bench experiment to data deposition. Our natural experiment demonstrates that public database metadata cannot reliably distinguish biological seasonality from institutional rhythms. This finding should serve as a cautionary note for meta-research studies that use submission timestamps as temporal proxies.</w:t>
      </w:r>
    </w:p>
    <w:p>
      <w:pPr>
        <w:spacing w:after="120" w:before="0" w:line="480" w:lineRule="auto"/>
        <w:jc w:val="both"/>
      </w:pPr>
      <w:r>
        <w:rPr>
          <w:rFonts w:ascii="Arial" w:hAnsi="Arial"/>
          <w:sz w:val="22"/>
        </w:rPr>
        <w:t>An exploratory analysis of the relationship between PSC dataset volume and solar activity indices (NOAA F10.7 flux) illustrates a complementary pitfall. The raw correlation was r=0.48, suggesting an intriguing link—until detrending removed the common upward trajectory of both iPSC research output and Solar Cycle 24/25 ascent, yielding a residual correlation of r=0.02 (p=0.75). Geographic analysis further constrained interpretation: 97% of GEO datasets with identifiable country affiliations originated from Northern Hemisphere institutions, rendering hemisphere-inversion tests impractical with GEO data alone.</w:t>
      </w:r>
    </w:p>
    <w:p>
      <w:pPr>
        <w:pStyle w:val="Heading2"/>
      </w:pPr>
      <w:r>
        <w:rPr>
          <w:color w:val="000000"/>
        </w:rPr>
        <w:t>The path forward: environmental monitoring as method</w:t>
      </w:r>
    </w:p>
    <w:p>
      <w:pPr>
        <w:spacing w:after="120" w:before="0" w:line="480" w:lineRule="auto"/>
        <w:jc w:val="both"/>
      </w:pPr>
      <w:r>
        <w:rPr>
          <w:rFonts w:ascii="Arial" w:hAnsi="Arial"/>
          <w:sz w:val="22"/>
        </w:rPr>
        <w:t>Our analysis demonstrates that retrospective database mining cannot detect or rule out environmental effects on PSC differentiation. The IVF evidence suggests such effects exist in early-stage cells</w:t>
      </w:r>
      <w:r>
        <w:rPr>
          <w:rFonts w:ascii="Arial" w:hAnsi="Arial"/>
          <w:sz w:val="18"/>
          <w:vertAlign w:val="superscript"/>
        </w:rPr>
        <w:t>9,13</w:t>
      </w:r>
      <w:r>
        <w:rPr>
          <w:rFonts w:ascii="Arial" w:hAnsi="Arial"/>
          <w:sz w:val="22"/>
        </w:rPr>
        <w:t>, and the vulnerability evidence suggests PSCs are plausible targets</w:t>
      </w:r>
      <w:r>
        <w:rPr>
          <w:rFonts w:ascii="Arial" w:hAnsi="Arial"/>
          <w:sz w:val="18"/>
          <w:vertAlign w:val="superscript"/>
        </w:rPr>
        <w:t>14,15</w:t>
      </w:r>
      <w:r>
        <w:rPr>
          <w:rFonts w:ascii="Arial" w:hAnsi="Arial"/>
          <w:sz w:val="22"/>
        </w:rPr>
        <w:t>. What is needed is a systematic method: prospective, controlled environmental monitoring paired with differentiation outcome tracking.</w:t>
      </w:r>
    </w:p>
    <w:p>
      <w:pPr>
        <w:spacing w:after="120" w:before="0" w:line="480" w:lineRule="auto"/>
        <w:jc w:val="both"/>
      </w:pPr>
      <w:r>
        <w:rPr>
          <w:rFonts w:ascii="Arial" w:hAnsi="Arial"/>
          <w:sz w:val="22"/>
        </w:rPr>
        <w:t>We propose a three-phase approach (Figure 2). Phase I: equip PSC facilities with continuous multi-parameter sensors (humidity, illuminance, ELF-EMF, barometric pressure, VOC levels, vibration) at 1-minute resolution alongside routine differentiation outcomes for ≥12 months. Modern IoT sensor packages achieve this at modest cost (&lt;$5,000 per laboratory). Phase II: analyze existing data from IVF registries (HFEA in the UK, ANZARD in Australia) that contain date-stamped cycle outcomes with latitude information—these can directly test the hemisphere-inversion prediction for photoperiod-driven effects. Phase III: for variables identified in Phases I–II as significantly correlated with outcomes, conduct prospective controlled interventions (e.g., humidity-controlled vs. uncontrolled incubators, light-tight hoods vs. standard biosafety cabinets, magnetic shielding).</w:t>
      </w:r>
    </w:p>
    <w:p>
      <w:pPr>
        <w:spacing w:after="120" w:before="0" w:line="480" w:lineRule="auto"/>
        <w:jc w:val="both"/>
      </w:pPr>
      <w:r>
        <w:rPr>
          <w:rFonts w:ascii="Arial" w:hAnsi="Arial"/>
          <w:sz w:val="22"/>
        </w:rPr>
        <w:t>The hemisphere-inversion test provides a powerful diagnostic criterion. Variables whose effects are phase-inverted between Northern and Southern Hemisphere laboratories implicate solar-driven mechanisms—photoperiod, temperature, UV flux. Variables whose effects are hemisphere-synchronous implicate geomagnetic or cosmic ray pathways. A coordinated multi-center study spanning both hemispheres could decompose seasonal variation into these mechanistic categories.</w:t>
      </w:r>
    </w:p>
    <w:p>
      <w:pPr>
        <w:spacing w:after="120" w:before="0" w:line="480" w:lineRule="auto"/>
        <w:jc w:val="both"/>
      </w:pPr>
      <w:r>
        <w:rPr>
          <w:rFonts w:ascii="Arial" w:hAnsi="Arial"/>
          <w:sz w:val="22"/>
        </w:rPr>
        <w:t>The technical requirements for Phase I monitoring are straightforward. A minimum sensor array would include: (1) temperature/humidity loggers (±0.1°C, ±1% RH) inside incubators and at bench level; (2) a photodiode sensor in the biosafety cabinet recording cumulative lux-hours of exposure per manipulation; (3) a VOC sensor (ppb-level total VOC) with seasonal baseline tracking; (4) an ELF-EMF sensor (3-axis, nT resolution) placed adjacent to incubators; and (5) a barometric pressure logger. Modern IoT platforms can integrate all five data streams with automatic cloud upload, enabling multi-site meta-analyses without manual data wrangling. The critical companion requirement is systematic recording of differentiation outcomes per batch—ideally including not just binary success/failure but quantitative markers (flow cytometry percentages, gene expression levels, electrophysiological parameters) that permit correlation analysis.</w:t>
      </w:r>
    </w:p>
    <w:p>
      <w:pPr>
        <w:spacing w:after="120" w:before="0" w:line="480" w:lineRule="auto"/>
        <w:jc w:val="both"/>
      </w:pPr>
      <w:r>
        <w:rPr>
          <w:rFonts w:ascii="Arial" w:hAnsi="Arial"/>
          <w:sz w:val="22"/>
        </w:rPr>
        <w:t>Figure 2 presents a research roadmap organized by the expected hemisphere-dependence of each variable and the current level of evidence.</w:t>
      </w:r>
    </w:p>
    <w:p>
      <w:pPr>
        <w:pStyle w:val="Heading2"/>
      </w:pPr>
      <w:r>
        <w:rPr>
          <w:color w:val="000000"/>
        </w:rPr>
        <w:t>Implications for reproducibility and manufacturing</w:t>
      </w:r>
    </w:p>
    <w:p>
      <w:pPr>
        <w:spacing w:after="120" w:before="0" w:line="480" w:lineRule="auto"/>
        <w:jc w:val="both"/>
      </w:pPr>
      <w:r>
        <w:rPr>
          <w:rFonts w:ascii="Arial" w:hAnsi="Arial"/>
          <w:sz w:val="22"/>
        </w:rPr>
        <w:t>As PSC-derived cell therapies advance toward clinical application</w:t>
      </w:r>
      <w:r>
        <w:rPr>
          <w:rFonts w:ascii="Arial" w:hAnsi="Arial"/>
          <w:sz w:val="18"/>
          <w:vertAlign w:val="superscript"/>
        </w:rPr>
        <w:t>1</w:t>
      </w:r>
      <w:r>
        <w:rPr>
          <w:rFonts w:ascii="Arial" w:hAnsi="Arial"/>
          <w:sz w:val="22"/>
        </w:rPr>
        <w:t>, manufacturing consistency becomes a regulatory imperative. Current Good Manufacturing Practice (cGMP) facilities control temperature, humidity, and particulates, but do not routinely monitor illuminance, EMF, VOCs, or barometric pressure. If any of these variables meaningfully affect differentiation, current manufacturing harbors hidden batch-to-batch variability attributed to biological stochasticity but potentially environmental and correctable</w:t>
      </w:r>
      <w:r>
        <w:rPr>
          <w:rFonts w:ascii="Arial" w:hAnsi="Arial"/>
          <w:sz w:val="18"/>
          <w:vertAlign w:val="superscript"/>
        </w:rPr>
        <w:t>27</w:t>
      </w:r>
      <w:r>
        <w:rPr>
          <w:rFonts w:ascii="Arial" w:hAnsi="Arial"/>
          <w:sz w:val="22"/>
        </w:rPr>
        <w:t>. The economic argument is compelling: failed batches in autologous cell therapy represent lost patient tissue and treatment delays. Even modest improvements in first-pass success rates through environmental optimization could translate into significant cost savings and reduced time-to-treatment.</w:t>
      </w:r>
    </w:p>
    <w:p>
      <w:pPr>
        <w:spacing w:after="120" w:before="0" w:line="480" w:lineRule="auto"/>
        <w:jc w:val="both"/>
      </w:pPr>
      <w:r>
        <w:rPr>
          <w:rFonts w:ascii="Arial" w:hAnsi="Arial"/>
          <w:sz w:val="22"/>
        </w:rPr>
        <w:t>The monitoring approach imposes no change on existing workflows—it simply makes the invisible visible. Recent proposals for ‘cytocentric’ quality principles in regenerative medicine have independently argued that sensing and controlling environmental parameters must become a cornerstone of cell manufacturing</w:t>
      </w:r>
      <w:r>
        <w:rPr>
          <w:rFonts w:ascii="Arial" w:hAnsi="Arial"/>
          <w:sz w:val="18"/>
          <w:vertAlign w:val="superscript"/>
        </w:rPr>
        <w:t>28,29</w:t>
      </w:r>
      <w:r>
        <w:rPr>
          <w:rFonts w:ascii="Arial" w:hAnsi="Arial"/>
          <w:sz w:val="22"/>
        </w:rPr>
        <w:t>. Unlike prospective intervention studies, which require protocol modifications and ethical approvals, passive environmental monitoring can be implemented immediately in any laboratory. The resulting datasets, when combined across multiple sites and latitudes, would constitute a resource of enormous value for the field—analogous to weather station networks that transformed meteorology from an anecdotal practice to a predictive science.</w:t>
      </w:r>
    </w:p>
    <w:p>
      <w:pPr>
        <w:spacing w:after="120" w:before="0" w:line="480" w:lineRule="auto"/>
        <w:jc w:val="both"/>
      </w:pPr>
      <w:r>
        <w:rPr>
          <w:rFonts w:ascii="Arial" w:hAnsi="Arial"/>
          <w:sz w:val="22"/>
        </w:rPr>
        <w:t>The IVF field’s experience is instructive: when laboratories invested in VOC filtration and positive-pressure air handling, blastocyst rates increased by 18% and live births by 8%</w:t>
      </w:r>
      <w:r>
        <w:rPr>
          <w:rFonts w:ascii="Arial" w:hAnsi="Arial"/>
          <w:sz w:val="18"/>
          <w:vertAlign w:val="superscript"/>
        </w:rPr>
        <w:t>6,8</w:t>
      </w:r>
      <w:r>
        <w:rPr>
          <w:rFonts w:ascii="Arial" w:hAnsi="Arial"/>
          <w:sz w:val="22"/>
        </w:rPr>
        <w:t>. These improvements were achieved not through better biological protocols but through better environmental control—precisely the paradigm shift we advocate for PSC manufacturing. The convergence of clinical-grade cell therapy production with modern IoT environmental monitoring capabilities creates an opportune moment to establish new standards for ‘environmentally aware’ cell culture.</w:t>
      </w:r>
    </w:p>
    <w:p>
      <w:pPr>
        <w:pStyle w:val="Heading2"/>
      </w:pPr>
      <w:r>
        <w:rPr>
          <w:color w:val="000000"/>
        </w:rPr>
        <w:t>What this Perspective does not argue</w:t>
      </w:r>
    </w:p>
    <w:p>
      <w:pPr>
        <w:spacing w:after="120" w:before="0" w:line="480" w:lineRule="auto"/>
        <w:jc w:val="both"/>
      </w:pPr>
      <w:r>
        <w:rPr>
          <w:rFonts w:ascii="Arial" w:hAnsi="Arial"/>
          <w:sz w:val="22"/>
        </w:rPr>
        <w:t>We are not claiming that seasonal photoperiod directly drives PSC differentiation outcomes—our GEO analysis demonstrates precisely the opposite. We are not claiming that environmental variables are the dominant source of variability—genetic background, passage number, and operator technique remain important. Rather, we argue that environmental variables constitute an additional, correctable source of variation that has been systematically overlooked because the clonal paradigm implies they should not exist. The null hypothesis—that humidity, VOCs, and ambient light have zero effect on PSC differentiation—is contradicted by the evidence reviewed</w:t>
      </w:r>
      <w:r>
        <w:rPr>
          <w:rFonts w:ascii="Arial" w:hAnsi="Arial"/>
          <w:sz w:val="18"/>
          <w:vertAlign w:val="superscript"/>
        </w:rPr>
        <w:t>14,15,20</w:t>
      </w:r>
      <w:r>
        <w:rPr>
          <w:rFonts w:ascii="Arial" w:hAnsi="Arial"/>
          <w:sz w:val="22"/>
        </w:rPr>
        <w:t>, but the magnitude of effects under real-world conditions remains unknown. Only prospective measurement can resolve this.</w:t>
      </w:r>
    </w:p>
    <w:p>
      <w:pPr>
        <w:pStyle w:val="Heading2"/>
      </w:pPr>
      <w:r>
        <w:rPr>
          <w:color w:val="000000"/>
        </w:rPr>
        <w:t>Conclusion</w:t>
      </w:r>
    </w:p>
    <w:p>
      <w:pPr>
        <w:spacing w:after="120" w:before="0" w:line="480" w:lineRule="auto"/>
        <w:jc w:val="both"/>
      </w:pPr>
      <w:r>
        <w:rPr>
          <w:rFonts w:ascii="Arial" w:hAnsi="Arial"/>
          <w:sz w:val="22"/>
        </w:rPr>
        <w:t>The history of experimental biology is punctuated by discoveries that ‘noise’ was in fact signal from an unmeasured variable. The stem cell field may be at such an inflection point. We have spent two decades optimizing recipes while ignoring the kitchen. The convergence of evidence from IVF environmental control</w:t>
      </w:r>
      <w:r>
        <w:rPr>
          <w:rFonts w:ascii="Arial" w:hAnsi="Arial"/>
          <w:sz w:val="18"/>
          <w:vertAlign w:val="superscript"/>
        </w:rPr>
        <w:t>6,7</w:t>
      </w:r>
      <w:r>
        <w:rPr>
          <w:rFonts w:ascii="Arial" w:hAnsi="Arial"/>
          <w:sz w:val="22"/>
        </w:rPr>
        <w:t>, seasonal effects on early embryos</w:t>
      </w:r>
      <w:r>
        <w:rPr>
          <w:rFonts w:ascii="Arial" w:hAnsi="Arial"/>
          <w:sz w:val="18"/>
          <w:vertAlign w:val="superscript"/>
        </w:rPr>
        <w:t>9,13</w:t>
      </w:r>
      <w:r>
        <w:rPr>
          <w:rFonts w:ascii="Arial" w:hAnsi="Arial"/>
          <w:sz w:val="22"/>
        </w:rPr>
        <w:t>, circadian regulation of pluripotency</w:t>
      </w:r>
      <w:r>
        <w:rPr>
          <w:rFonts w:ascii="Arial" w:hAnsi="Arial"/>
          <w:sz w:val="18"/>
          <w:vertAlign w:val="superscript"/>
        </w:rPr>
        <w:t>17,18</w:t>
      </w:r>
      <w:r>
        <w:rPr>
          <w:rFonts w:ascii="Arial" w:hAnsi="Arial"/>
          <w:sz w:val="22"/>
        </w:rPr>
        <w:t>, and environmental monitoring of cell-processing facilities</w:t>
      </w:r>
      <w:r>
        <w:rPr>
          <w:rFonts w:ascii="Arial" w:hAnsi="Arial"/>
          <w:sz w:val="18"/>
          <w:vertAlign w:val="superscript"/>
        </w:rPr>
        <w:t>22</w:t>
      </w:r>
      <w:r>
        <w:rPr>
          <w:rFonts w:ascii="Arial" w:hAnsi="Arial"/>
          <w:sz w:val="22"/>
        </w:rPr>
        <w:t xml:space="preserve"> suggests that the invisible variables are neither negligible nor intractable. They merely need to be measured.</w:t>
      </w:r>
    </w:p>
    <w:p>
      <w:pPr>
        <w:spacing w:after="120" w:before="0" w:line="480" w:lineRule="auto"/>
        <w:jc w:val="both"/>
      </w:pPr>
      <w:r>
        <w:rPr>
          <w:rFonts w:ascii="Arial" w:hAnsi="Arial"/>
          <w:sz w:val="22"/>
        </w:rPr>
        <w:t>The practical path forward is clear. First, equip PSC laboratories with multi-parameter environmental sensors and record outcomes systematically for 12 months. Second, analyze IVF registry data for hemisphere-dependent seasonal effects. Third, for any variable identified as significant, conduct controlled interventions. The cost of environmental monitoring is negligible compared to the cost of failed differentiation batches in clinical manufacturing</w:t>
      </w:r>
      <w:r>
        <w:rPr>
          <w:rFonts w:ascii="Arial" w:hAnsi="Arial"/>
          <w:sz w:val="18"/>
          <w:vertAlign w:val="superscript"/>
        </w:rPr>
        <w:t>1,27</w:t>
      </w:r>
      <w:r>
        <w:rPr>
          <w:rFonts w:ascii="Arial" w:hAnsi="Arial"/>
          <w:sz w:val="22"/>
        </w:rPr>
        <w:t>. If even one invisible variable proves consequential—as VOCs proved consequential in IVF</w:t>
      </w:r>
      <w:r>
        <w:rPr>
          <w:rFonts w:ascii="Arial" w:hAnsi="Arial"/>
          <w:sz w:val="18"/>
          <w:vertAlign w:val="superscript"/>
        </w:rPr>
        <w:t>6</w:t>
      </w:r>
      <w:r>
        <w:rPr>
          <w:rFonts w:ascii="Arial" w:hAnsi="Arial"/>
          <w:sz w:val="22"/>
        </w:rPr>
        <w:t>—the return on investment for the field will be transformative.</w:t>
      </w:r>
    </w:p>
    <w:p>
      <w:pPr>
        <w:spacing w:after="120" w:before="0" w:line="480" w:lineRule="auto"/>
        <w:jc w:val="both"/>
      </w:pPr>
      <w:r>
        <w:rPr>
          <w:rFonts w:ascii="Arial" w:hAnsi="Arial"/>
          <w:sz w:val="22"/>
        </w:rPr>
        <w:t>In summary, this Perspective has identified a methodological gap in stem cell research: the clonal complacency trap. Key unanswered questions include: (i) which specific environmental variables have the largest effect on differentiation outcomes? (ii) Are effects consistent across cell lines and protocols? (iii) Can the hemisphere-inversion test discriminate solar-driven from geomagnetic mechanisms? (iv) What are the minimum monitoring requirements for clinically meaningful environmental quality control? Addressing these questions through prospective, multi-site environmental profiling would represent a paradigm shift from recipe optimization to kitchen optimization in stem cell biology.</w:t>
      </w:r>
    </w:p>
    <w:p>
      <w:pPr>
        <w:pStyle w:val="Heading2"/>
      </w:pPr>
      <w:r>
        <w:rPr>
          <w:color w:val="000000"/>
        </w:rPr>
        <w:t>Figure Legends</w:t>
      </w:r>
    </w:p>
    <w:p>
      <w:pPr>
        <w:spacing w:after="120" w:before="0" w:line="480" w:lineRule="auto"/>
        <w:jc w:val="both"/>
      </w:pPr>
      <w:r>
        <w:rPr>
          <w:rFonts w:ascii="Arial" w:hAnsi="Arial"/>
          <w:b/>
          <w:sz w:val="22"/>
        </w:rPr>
        <w:t xml:space="preserve">Figure 1 | Academic calendar variation as a natural experiment. </w:t>
      </w:r>
      <w:r>
        <w:rPr>
          <w:rFonts w:ascii="Arial" w:hAnsi="Arial"/>
          <w:sz w:val="22"/>
        </w:rPr>
        <w:t>a, Normalized monthly distributions of GEO PSC dataset submissions by academic year group. The March/April-start group (Japan/Korea, red) shows a pronounced March peak absent in the September-start group (USA/Europe/China, blue). b, Country-level heatmap showing that the pattern is driven predominantly by Japan. c, Circular mean directions (Rayleigh vectors) for each group. d, Statistical summary. Only Japan/Korea achieves significance (p&lt;0.001). n=6,101 total datasets; 3,195 with country affiliation.</w:t>
      </w:r>
    </w:p>
    <w:p>
      <w:pPr>
        <w:spacing w:after="120" w:before="240" w:line="480" w:lineRule="auto"/>
        <w:jc w:val="both"/>
      </w:pPr>
      <w:r>
        <w:rPr>
          <w:rFonts w:ascii="Arial" w:hAnsi="Arial"/>
          <w:b/>
          <w:sz w:val="22"/>
        </w:rPr>
        <w:t xml:space="preserve">Figure 2 | Research roadmap for environmental profiling of PSC culture. </w:t>
      </w:r>
      <w:r>
        <w:rPr>
          <w:rFonts w:ascii="Arial" w:hAnsi="Arial"/>
          <w:sz w:val="22"/>
        </w:rPr>
        <w:t>a, Evidence matrix: uncontrolled environmental variables classified by hemisphere-dependence (inverted = solar-driven; synchronous = geomagnetic) and evidence level. b, Three-phase investigation strategy from passive monitoring through retrospective data mining to controlled intervention.</w:t>
      </w:r>
    </w:p>
    <w:p>
      <w:pPr>
        <w:pStyle w:val="Heading2"/>
      </w:pPr>
      <w:r>
        <w:rPr>
          <w:color w:val="000000"/>
        </w:rPr>
        <w:t>References</w:t>
      </w:r>
    </w:p>
    <w:p>
      <w:pPr>
        <w:spacing w:after="80" w:before="0" w:line="480" w:lineRule="auto"/>
        <w:jc w:val="both"/>
      </w:pPr>
      <w:r>
        <w:rPr>
          <w:rFonts w:ascii="Arial" w:hAnsi="Arial"/>
          <w:sz w:val="22"/>
        </w:rPr>
        <w:t xml:space="preserve">1. </w:t>
      </w:r>
      <w:r>
        <w:rPr>
          <w:rFonts w:ascii="Arial" w:hAnsi="Arial"/>
          <w:sz w:val="22"/>
        </w:rPr>
        <w:t>Kirkeby, A., Main, H. &amp; Carpenter, M. Pluripotent stem-cell-derived therapies in clinical trial: a 2025 update. Cell Stem Cell 32, 10–37 (2025).</w:t>
      </w:r>
    </w:p>
    <w:p>
      <w:pPr>
        <w:spacing w:after="80" w:before="0" w:line="480" w:lineRule="auto"/>
        <w:jc w:val="both"/>
      </w:pPr>
      <w:r>
        <w:rPr>
          <w:rFonts w:ascii="Arial" w:hAnsi="Arial"/>
          <w:sz w:val="22"/>
        </w:rPr>
        <w:t xml:space="preserve">2. </w:t>
      </w:r>
      <w:r>
        <w:rPr>
          <w:rFonts w:ascii="Arial" w:hAnsi="Arial"/>
          <w:sz w:val="22"/>
        </w:rPr>
        <w:t>Yamanaka, S. Pluripotent stem cell-based cell therapy—promise and challenges. Cell Stem Cell 27, 523–531 (2020).</w:t>
      </w:r>
    </w:p>
    <w:p>
      <w:pPr>
        <w:spacing w:after="80" w:before="0" w:line="480" w:lineRule="auto"/>
        <w:jc w:val="both"/>
      </w:pPr>
      <w:r>
        <w:rPr>
          <w:rFonts w:ascii="Arial" w:hAnsi="Arial"/>
          <w:sz w:val="22"/>
        </w:rPr>
        <w:t xml:space="preserve">3. </w:t>
      </w:r>
      <w:r>
        <w:rPr>
          <w:rFonts w:ascii="Arial" w:hAnsi="Arial"/>
          <w:sz w:val="22"/>
        </w:rPr>
        <w:t>Volpato, V. et al. Reproducibility of molecular phenotypes after long-term differentiation to human iPSC-derived neurons: a multi-site omics study. Stem Cell Reports 11, 897–911 (2018).</w:t>
      </w:r>
    </w:p>
    <w:p>
      <w:pPr>
        <w:spacing w:after="80" w:before="0" w:line="480" w:lineRule="auto"/>
        <w:jc w:val="both"/>
      </w:pPr>
      <w:r>
        <w:rPr>
          <w:rFonts w:ascii="Arial" w:hAnsi="Arial"/>
          <w:sz w:val="22"/>
        </w:rPr>
        <w:t xml:space="preserve">4. </w:t>
      </w:r>
      <w:r>
        <w:rPr>
          <w:rFonts w:ascii="Arial" w:hAnsi="Arial"/>
          <w:sz w:val="22"/>
        </w:rPr>
        <w:t>Volpato, V. &amp; Webber, C. Addressing variability in iPSC-derived models of human disease: guidelines to promote reproducibility. Dis. Model. Mech. 13, dmm042317 (2020).</w:t>
      </w:r>
    </w:p>
    <w:p>
      <w:pPr>
        <w:spacing w:after="80" w:before="0" w:line="480" w:lineRule="auto"/>
        <w:jc w:val="both"/>
      </w:pPr>
      <w:r>
        <w:rPr>
          <w:rFonts w:ascii="Arial" w:hAnsi="Arial"/>
          <w:sz w:val="22"/>
        </w:rPr>
        <w:t xml:space="preserve">5. </w:t>
      </w:r>
      <w:r>
        <w:rPr>
          <w:rFonts w:ascii="Arial" w:hAnsi="Arial"/>
          <w:sz w:val="22"/>
        </w:rPr>
        <w:t>Ortmann, D. &amp; Vallier, L. Variability of human pluripotent stem cell lines. Curr. Opin. Genet. Dev. 46, 179–185 (2017).</w:t>
      </w:r>
    </w:p>
    <w:p>
      <w:pPr>
        <w:spacing w:after="80" w:before="0" w:line="480" w:lineRule="auto"/>
        <w:jc w:val="both"/>
      </w:pPr>
      <w:r>
        <w:rPr>
          <w:rFonts w:ascii="Arial" w:hAnsi="Arial"/>
          <w:sz w:val="22"/>
        </w:rPr>
        <w:t xml:space="preserve">6. </w:t>
      </w:r>
      <w:r>
        <w:rPr>
          <w:rFonts w:ascii="Arial" w:hAnsi="Arial"/>
          <w:sz w:val="22"/>
        </w:rPr>
        <w:t>Agarwal, N. et al. Volatile organic compounds and good laboratory practices in the in vitro fertilization laboratory: the important parameters for successful outcome in extended culture. J. Assist. Reprod. Genet. 34, 999–1006 (2017).</w:t>
      </w:r>
    </w:p>
    <w:p>
      <w:pPr>
        <w:spacing w:after="80" w:before="0" w:line="480" w:lineRule="auto"/>
        <w:jc w:val="both"/>
      </w:pPr>
      <w:r>
        <w:rPr>
          <w:rFonts w:ascii="Arial" w:hAnsi="Arial"/>
          <w:sz w:val="22"/>
        </w:rPr>
        <w:t xml:space="preserve">7. </w:t>
      </w:r>
      <w:r>
        <w:rPr>
          <w:rFonts w:ascii="Arial" w:hAnsi="Arial"/>
          <w:sz w:val="22"/>
        </w:rPr>
        <w:t>Cai, J. et al. Real-time monitoring reveals the effects of low concentrations of volatile organic compounds in the embryology laboratory. Hum. Reprod. 40, deaf008 (2025).</w:t>
      </w:r>
    </w:p>
    <w:p>
      <w:pPr>
        <w:spacing w:after="80" w:before="0" w:line="480" w:lineRule="auto"/>
        <w:jc w:val="both"/>
      </w:pPr>
      <w:r>
        <w:rPr>
          <w:rFonts w:ascii="Arial" w:hAnsi="Arial"/>
          <w:sz w:val="22"/>
        </w:rPr>
        <w:t xml:space="preserve">8. </w:t>
      </w:r>
      <w:r>
        <w:rPr>
          <w:rFonts w:ascii="Arial" w:hAnsi="Arial"/>
          <w:sz w:val="22"/>
        </w:rPr>
        <w:t>Cohen, J. et al. Cairo consensus on the IVF laboratory environment and air quality: report of an expert meeting. Reprod. Biomed. Online 36, 658–674 (2018).</w:t>
      </w:r>
    </w:p>
    <w:p>
      <w:pPr>
        <w:spacing w:after="80" w:before="0" w:line="480" w:lineRule="auto"/>
        <w:jc w:val="both"/>
      </w:pPr>
      <w:r>
        <w:rPr>
          <w:rFonts w:ascii="Arial" w:hAnsi="Arial"/>
          <w:sz w:val="22"/>
        </w:rPr>
        <w:t xml:space="preserve">9. </w:t>
      </w:r>
      <w:r>
        <w:rPr>
          <w:rFonts w:ascii="Arial" w:hAnsi="Arial"/>
          <w:sz w:val="22"/>
        </w:rPr>
        <w:t>Leathersich, S. J. et al. Season at the time of oocyte collection and frozen embryo transfer outcomes. Hum. Reprod. 38, 1714–1722 (2023).</w:t>
      </w:r>
    </w:p>
    <w:p>
      <w:pPr>
        <w:spacing w:after="80" w:before="0" w:line="480" w:lineRule="auto"/>
        <w:jc w:val="both"/>
      </w:pPr>
      <w:r>
        <w:rPr>
          <w:rFonts w:ascii="Arial" w:hAnsi="Arial"/>
          <w:sz w:val="22"/>
        </w:rPr>
        <w:t xml:space="preserve">10. </w:t>
      </w:r>
      <w:r>
        <w:rPr>
          <w:rFonts w:ascii="Arial" w:hAnsi="Arial"/>
          <w:sz w:val="22"/>
        </w:rPr>
        <w:t>Wang, C. et al. The impact of season, temperature, and direct normal irradiance on IVF pregnancy outcomes: a retrospective cohort study. Int. J. Biometeorol. 69, 2053–2065 (2025).</w:t>
      </w:r>
    </w:p>
    <w:p>
      <w:pPr>
        <w:spacing w:after="80" w:before="0" w:line="480" w:lineRule="auto"/>
        <w:jc w:val="both"/>
      </w:pPr>
      <w:r>
        <w:rPr>
          <w:rFonts w:ascii="Arial" w:hAnsi="Arial"/>
          <w:sz w:val="22"/>
        </w:rPr>
        <w:t xml:space="preserve">11. </w:t>
      </w:r>
      <w:r>
        <w:rPr>
          <w:rFonts w:ascii="Arial" w:hAnsi="Arial"/>
          <w:sz w:val="22"/>
        </w:rPr>
        <w:t>Braga, D. P. A., Setti, A., Guilherme, P., Iaconelli, A. Jr &amp; Borges, E. Jr. Association between meteorological season and embryo quality in the era of morphokinetics. J. Assist. Reprod. Genet. 42, 1287–1298 (2025).</w:t>
      </w:r>
    </w:p>
    <w:p>
      <w:pPr>
        <w:spacing w:after="80" w:before="0" w:line="480" w:lineRule="auto"/>
        <w:jc w:val="both"/>
      </w:pPr>
      <w:r>
        <w:rPr>
          <w:rFonts w:ascii="Arial" w:hAnsi="Arial"/>
          <w:sz w:val="22"/>
        </w:rPr>
        <w:t xml:space="preserve">12. </w:t>
      </w:r>
      <w:r>
        <w:rPr>
          <w:rFonts w:ascii="Arial" w:hAnsi="Arial"/>
          <w:sz w:val="22"/>
        </w:rPr>
        <w:t>Deng, Q. et al. Association between season and pregnancy outcomes in fresh embryo transfer cycles: a systematic review and meta-analysis. Front. Public Health 13, 1660982 (2025).</w:t>
      </w:r>
    </w:p>
    <w:p>
      <w:pPr>
        <w:spacing w:after="80" w:before="0" w:line="480" w:lineRule="auto"/>
        <w:jc w:val="both"/>
      </w:pPr>
      <w:r>
        <w:rPr>
          <w:rFonts w:ascii="Arial" w:hAnsi="Arial"/>
          <w:sz w:val="22"/>
        </w:rPr>
        <w:t xml:space="preserve">13. </w:t>
      </w:r>
      <w:r>
        <w:rPr>
          <w:rFonts w:ascii="Arial" w:hAnsi="Arial"/>
          <w:sz w:val="22"/>
        </w:rPr>
        <w:t>Wang, J. P. et al. Seasonal variation in cell cycle during early development of the mouse embryo. Reproduction 94, 431–436 (1992).</w:t>
      </w:r>
    </w:p>
    <w:p>
      <w:pPr>
        <w:spacing w:after="80" w:before="0" w:line="480" w:lineRule="auto"/>
        <w:jc w:val="both"/>
      </w:pPr>
      <w:r>
        <w:rPr>
          <w:rFonts w:ascii="Arial" w:hAnsi="Arial"/>
          <w:sz w:val="22"/>
        </w:rPr>
        <w:t xml:space="preserve">14. </w:t>
      </w:r>
      <w:r>
        <w:rPr>
          <w:rFonts w:ascii="Arial" w:hAnsi="Arial"/>
          <w:sz w:val="22"/>
        </w:rPr>
        <w:t>Panina, Y., Yamane, J., Kobayashi, K., Sone, H. &amp; Fujibuchi, W. Human ES and iPS cells display less drug resistance than differentiated cells, and naive-state induction further decreases drug resistance. J. Toxicol. Sci. 46, 131–142 (2021).</w:t>
      </w:r>
    </w:p>
    <w:p>
      <w:pPr>
        <w:spacing w:after="80" w:before="0" w:line="480" w:lineRule="auto"/>
        <w:jc w:val="both"/>
      </w:pPr>
      <w:r>
        <w:rPr>
          <w:rFonts w:ascii="Arial" w:hAnsi="Arial"/>
          <w:sz w:val="22"/>
        </w:rPr>
        <w:t xml:space="preserve">15. </w:t>
      </w:r>
      <w:r>
        <w:rPr>
          <w:rFonts w:ascii="Arial" w:hAnsi="Arial"/>
          <w:sz w:val="22"/>
        </w:rPr>
        <w:t>McCreery, K. P. et al. Mechano-osmotic signals control chromatin state and fate transitions in pluripotent stem cells. Nat. Cell Biol. 27, 1757–1770 (2025).</w:t>
      </w:r>
    </w:p>
    <w:p>
      <w:pPr>
        <w:spacing w:after="80" w:before="0" w:line="480" w:lineRule="auto"/>
        <w:jc w:val="both"/>
      </w:pPr>
      <w:r>
        <w:rPr>
          <w:rFonts w:ascii="Arial" w:hAnsi="Arial"/>
          <w:sz w:val="22"/>
        </w:rPr>
        <w:t xml:space="preserve">16. </w:t>
      </w:r>
      <w:r>
        <w:rPr>
          <w:rFonts w:ascii="Arial" w:hAnsi="Arial"/>
          <w:sz w:val="22"/>
        </w:rPr>
        <w:t>Chui, J. S.-H. et al. Osmolar modulation drives reversible cell cycle exit and human pluripotent cell differentiation via NF-κB and WNT signaling. Adv. Sci. 11, 2307554 (2024).</w:t>
      </w:r>
    </w:p>
    <w:p>
      <w:pPr>
        <w:spacing w:after="80" w:before="0" w:line="480" w:lineRule="auto"/>
        <w:jc w:val="both"/>
      </w:pPr>
      <w:r>
        <w:rPr>
          <w:rFonts w:ascii="Arial" w:hAnsi="Arial"/>
          <w:sz w:val="22"/>
        </w:rPr>
        <w:t xml:space="preserve">17. </w:t>
      </w:r>
      <w:r>
        <w:rPr>
          <w:rFonts w:ascii="Arial" w:hAnsi="Arial"/>
          <w:sz w:val="22"/>
        </w:rPr>
        <w:t>Sato, S. et al. The circadian clock CRY1 regulates pluripotent stem cell identity and somatic cell reprogramming. Cell Rep. 42, 112590 (2023).</w:t>
      </w:r>
    </w:p>
    <w:p>
      <w:pPr>
        <w:spacing w:after="80" w:before="0" w:line="480" w:lineRule="auto"/>
        <w:jc w:val="both"/>
      </w:pPr>
      <w:r>
        <w:rPr>
          <w:rFonts w:ascii="Arial" w:hAnsi="Arial"/>
          <w:sz w:val="22"/>
        </w:rPr>
        <w:t xml:space="preserve">18. </w:t>
      </w:r>
      <w:r>
        <w:rPr>
          <w:rFonts w:ascii="Arial" w:hAnsi="Arial"/>
          <w:sz w:val="22"/>
        </w:rPr>
        <w:t>Ameneiro, C. et al. BMAL1 coordinates energy metabolism and differentiation of pluripotent stem cells. Life Sci. Alliance 3, e201900534 (2020).</w:t>
      </w:r>
    </w:p>
    <w:p>
      <w:pPr>
        <w:spacing w:after="80" w:before="0" w:line="480" w:lineRule="auto"/>
        <w:jc w:val="both"/>
      </w:pPr>
      <w:r>
        <w:rPr>
          <w:rFonts w:ascii="Arial" w:hAnsi="Arial"/>
          <w:sz w:val="22"/>
        </w:rPr>
        <w:t xml:space="preserve">19. </w:t>
      </w:r>
      <w:r>
        <w:rPr>
          <w:rFonts w:ascii="Arial" w:hAnsi="Arial"/>
          <w:sz w:val="22"/>
        </w:rPr>
        <w:t>Golan, K., Kollet, O., Markus, R. P. &amp; Lapidot, T. Daily light and darkness onset and circadian rhythms metabolically synchronize hematopoietic stem cell differentiation and maintenance. Exp. Hematol. 78, 1–10 (2019).</w:t>
      </w:r>
    </w:p>
    <w:p>
      <w:pPr>
        <w:spacing w:after="80" w:before="0" w:line="480" w:lineRule="auto"/>
        <w:jc w:val="both"/>
      </w:pPr>
      <w:r>
        <w:rPr>
          <w:rFonts w:ascii="Arial" w:hAnsi="Arial"/>
          <w:sz w:val="22"/>
        </w:rPr>
        <w:t xml:space="preserve">20. </w:t>
      </w:r>
      <w:r>
        <w:rPr>
          <w:rFonts w:ascii="Arial" w:hAnsi="Arial"/>
          <w:sz w:val="22"/>
        </w:rPr>
        <w:t>Bi, S. et al. Fine particulate matter reduces the pluripotency and proliferation of human embryonic stem cells through ROS induced AKT and ERK signaling pathway. Reprod. Toxicol. 96, 231–240 (2020).</w:t>
      </w:r>
    </w:p>
    <w:p>
      <w:pPr>
        <w:spacing w:after="80" w:before="0" w:line="480" w:lineRule="auto"/>
        <w:jc w:val="both"/>
      </w:pPr>
      <w:r>
        <w:rPr>
          <w:rFonts w:ascii="Arial" w:hAnsi="Arial"/>
          <w:sz w:val="22"/>
        </w:rPr>
        <w:t xml:space="preserve">21. </w:t>
      </w:r>
      <w:r>
        <w:rPr>
          <w:rFonts w:ascii="Arial" w:hAnsi="Arial"/>
          <w:sz w:val="22"/>
        </w:rPr>
        <w:t>Czyz, J. et al. Non-thermal effects of power-line magnetic fields (50 Hz) on gene expression levels of pluripotent embryonic stem cells. Mutat. Res. 557, 63–74 (2004).</w:t>
      </w:r>
    </w:p>
    <w:p>
      <w:pPr>
        <w:spacing w:after="80" w:before="0" w:line="480" w:lineRule="auto"/>
        <w:jc w:val="both"/>
      </w:pPr>
      <w:r>
        <w:rPr>
          <w:rFonts w:ascii="Arial" w:hAnsi="Arial"/>
          <w:sz w:val="22"/>
        </w:rPr>
        <w:t xml:space="preserve">22. </w:t>
      </w:r>
      <w:r>
        <w:rPr>
          <w:rFonts w:ascii="Arial" w:hAnsi="Arial"/>
          <w:sz w:val="22"/>
        </w:rPr>
        <w:t>Mizuno, M. et al. The environmental risk assessment of cell-processing facilities for cell therapy in a Japanese academic institution. PLoS ONE 15, e0236600 (2020).</w:t>
      </w:r>
    </w:p>
    <w:p>
      <w:pPr>
        <w:spacing w:after="80" w:before="0" w:line="480" w:lineRule="auto"/>
        <w:jc w:val="both"/>
      </w:pPr>
      <w:r>
        <w:rPr>
          <w:rFonts w:ascii="Arial" w:hAnsi="Arial"/>
          <w:sz w:val="22"/>
        </w:rPr>
        <w:t xml:space="preserve">23. </w:t>
      </w:r>
      <w:r>
        <w:rPr>
          <w:rFonts w:ascii="Arial" w:hAnsi="Arial"/>
          <w:sz w:val="22"/>
        </w:rPr>
        <w:t>Klein, S. G. et al. Toward best practices for controlling mammalian cell culture environments. Front. Cell Dev. Biol. 10, 788808 (2022).</w:t>
      </w:r>
    </w:p>
    <w:p>
      <w:pPr>
        <w:spacing w:after="80" w:before="0" w:line="480" w:lineRule="auto"/>
        <w:jc w:val="both"/>
      </w:pPr>
      <w:r>
        <w:rPr>
          <w:rFonts w:ascii="Arial" w:hAnsi="Arial"/>
          <w:sz w:val="22"/>
        </w:rPr>
        <w:t xml:space="preserve">24. </w:t>
      </w:r>
      <w:r>
        <w:rPr>
          <w:rFonts w:ascii="Arial" w:hAnsi="Arial"/>
          <w:sz w:val="22"/>
        </w:rPr>
        <w:t>Diatroptova, M. A., Kosyreva, A. M. &amp; Diatroptov, M. E. About 4-day rhythm of proliferative activity of L-929 cells in culture correlates with the intensity of secondary cosmic radiation fluctuations. Bull. Exp. Biol. Med. 172, 561–565 (2022).</w:t>
      </w:r>
    </w:p>
    <w:p>
      <w:pPr>
        <w:spacing w:after="80" w:before="0" w:line="480" w:lineRule="auto"/>
        <w:jc w:val="both"/>
      </w:pPr>
      <w:r>
        <w:rPr>
          <w:rFonts w:ascii="Arial" w:hAnsi="Arial"/>
          <w:sz w:val="22"/>
        </w:rPr>
        <w:t xml:space="preserve">25. </w:t>
      </w:r>
      <w:r>
        <w:rPr>
          <w:rFonts w:ascii="Arial" w:hAnsi="Arial"/>
          <w:sz w:val="22"/>
        </w:rPr>
        <w:t>Barrett, T. et al. NCBI GEO: archive for functional genomics data sets—update. Nucleic Acids Res. 41, D991–D995 (2013).</w:t>
      </w:r>
    </w:p>
    <w:p>
      <w:pPr>
        <w:spacing w:after="80" w:before="0" w:line="480" w:lineRule="auto"/>
        <w:jc w:val="both"/>
      </w:pPr>
      <w:r>
        <w:rPr>
          <w:rFonts w:ascii="Arial" w:hAnsi="Arial"/>
          <w:sz w:val="22"/>
        </w:rPr>
        <w:t xml:space="preserve">26. </w:t>
      </w:r>
      <w:r>
        <w:rPr>
          <w:rFonts w:ascii="Arial" w:hAnsi="Arial"/>
          <w:sz w:val="22"/>
        </w:rPr>
        <w:t>Mardia, K. V. &amp; Jupp, P. E. Directional Statistics (Wiley, 2000).</w:t>
      </w:r>
    </w:p>
    <w:p>
      <w:pPr>
        <w:spacing w:after="80" w:before="0" w:line="480" w:lineRule="auto"/>
        <w:jc w:val="both"/>
      </w:pPr>
      <w:r>
        <w:rPr>
          <w:rFonts w:ascii="Arial" w:hAnsi="Arial"/>
          <w:sz w:val="22"/>
        </w:rPr>
        <w:t xml:space="preserve">27. </w:t>
      </w:r>
      <w:r>
        <w:rPr>
          <w:rFonts w:ascii="Arial" w:hAnsi="Arial"/>
          <w:sz w:val="22"/>
        </w:rPr>
        <w:t>Karagiannis, P. et al. Induced pluripotent stem cells and their use in human models of disease and development. Physiol. Rev. 99, 79–114 (2019).</w:t>
      </w:r>
    </w:p>
    <w:p>
      <w:pPr>
        <w:spacing w:after="80" w:before="0" w:line="480" w:lineRule="auto"/>
        <w:jc w:val="both"/>
      </w:pPr>
      <w:r>
        <w:rPr>
          <w:rFonts w:ascii="Arial" w:hAnsi="Arial"/>
          <w:sz w:val="22"/>
        </w:rPr>
        <w:t xml:space="preserve">28. </w:t>
      </w:r>
      <w:r>
        <w:rPr>
          <w:rFonts w:ascii="Arial" w:hAnsi="Arial"/>
          <w:sz w:val="22"/>
        </w:rPr>
        <w:t>Henn, A. D. et al. Applying the cytocentric principles to regenerative medicine for reproducibility. Curr. Stem Cell Rep. 8, 197–202 (2022).</w:t>
      </w:r>
    </w:p>
    <w:p>
      <w:pPr>
        <w:spacing w:after="80" w:before="0" w:line="480" w:lineRule="auto"/>
        <w:jc w:val="both"/>
      </w:pPr>
      <w:r>
        <w:rPr>
          <w:rFonts w:ascii="Arial" w:hAnsi="Arial"/>
          <w:sz w:val="22"/>
        </w:rPr>
        <w:t xml:space="preserve">29. </w:t>
      </w:r>
      <w:r>
        <w:rPr>
          <w:rFonts w:ascii="Arial" w:hAnsi="Arial"/>
          <w:sz w:val="22"/>
        </w:rPr>
        <w:t>Navarro, M. et al. Cytocentric measurement for regenerative medicine. Front. Med. Technol. 5, 1154653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