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sz w:val="22"/>
        </w:rPr>
        <w:t>[Date]</w:t>
      </w:r>
    </w:p>
    <w:p>
      <w:pPr>
        <w:spacing w:before="240"/>
      </w:pPr>
      <w:r>
        <w:rPr>
          <w:rFonts w:ascii="Arial" w:hAnsi="Arial"/>
          <w:sz w:val="22"/>
        </w:rPr>
        <w:t>Dr. Allison Doerr</w:t>
        <w:br/>
        <w:t>Chief Editor</w:t>
        <w:br/>
        <w:t>Nature Methods</w:t>
      </w:r>
    </w:p>
    <w:p>
      <w:pPr>
        <w:spacing w:before="240"/>
      </w:pPr>
      <w:r>
        <w:rPr>
          <w:rFonts w:ascii="Arial" w:hAnsi="Arial"/>
          <w:sz w:val="22"/>
        </w:rPr>
        <w:t>Dear Dr. Doerr,</w:t>
      </w:r>
    </w:p>
    <w:p>
      <w:pPr>
        <w:spacing w:before="240" w:line="360" w:lineRule="auto"/>
      </w:pPr>
      <w:r>
        <w:rPr>
          <w:rFonts w:ascii="Arial" w:hAnsi="Arial"/>
          <w:sz w:val="22"/>
        </w:rPr>
        <w:t>We write to inquire whether Nature Methods would consider a Perspective article entitled “The Invisible Variables: Why Clonal Systems Are Not Immune to Environmental Confounding.”</w:t>
      </w:r>
    </w:p>
    <w:p>
      <w:pPr>
        <w:spacing w:before="120" w:line="360" w:lineRule="auto"/>
      </w:pPr>
      <w:r>
        <w:rPr>
          <w:rFonts w:ascii="Arial" w:hAnsi="Arial"/>
          <w:sz w:val="22"/>
        </w:rPr>
        <w:t>Pluripotent stem cell (PSC) differentiation protocols suffer persistent batch-to-batch variability that limits both basic research reproducibility and clinical manufacturing consistency. We identify a methodological blind spot: multiple environmental variables—humidity, volatile organic compounds, ambient light, electromagnetic fields, and barometric pressure—remain unmonitored in most stem cell laboratories. We introduce the concept of the ‘clonal complacency trap’: the widespread assumption that genetic homogeneity in clonal systems eliminates the need for environmental confounding adjustment.</w:t>
      </w:r>
    </w:p>
    <w:p>
      <w:pPr>
        <w:spacing w:before="120" w:line="360" w:lineRule="auto"/>
      </w:pPr>
      <w:r>
        <w:rPr>
          <w:rFonts w:ascii="Arial" w:hAnsi="Arial"/>
          <w:sz w:val="22"/>
        </w:rPr>
        <w:t>We draw on two precedents where environmental control transformed outcomes: artisanal baking and IVF embryology (where VOC reduction increased blastocyst rates by 18%). A natural experiment using 6,101 GEO datasets demonstrates that apparent seasonality in public stem cell databases is an institutional artifact (driven by Japan’s March 31 fiscal year-end), not a biological signal—providing a cautionary lesson for all database-mining meta-research. We then review evidence that PSCs are uniquely vulnerable to environmental perturbation (drug sensitivity gradients, mechano-osmotic gating of fate decisions, non-canonical circadian clock dependence) and propose IoT-based multi-parameter environmental monitoring as a systematic method to identify which invisible variables matter.</w:t>
      </w:r>
    </w:p>
    <w:p>
      <w:pPr>
        <w:spacing w:before="120" w:line="360" w:lineRule="auto"/>
      </w:pPr>
      <w:r>
        <w:rPr>
          <w:rFonts w:ascii="Arial" w:hAnsi="Arial"/>
          <w:sz w:val="22"/>
        </w:rPr>
        <w:t>We believe this work is well-suited for Nature Methods because it identifies a fundamental methodological gap affecting reproducibility across the stem cell field and proposes a concrete, actionable monitoring framework. The ‘clonal complacency trap’ concept is broadly relevant to any field using isogenic systems, and the GEO fiscal-year artifact has implications for database-mining studies across biology. The manuscript is approximately 3,300 words with 26 references and 2 display items.</w:t>
      </w:r>
    </w:p>
    <w:p>
      <w:pPr>
        <w:spacing w:before="120" w:line="360" w:lineRule="auto"/>
      </w:pPr>
      <w:r>
        <w:rPr>
          <w:rFonts w:ascii="Arial" w:hAnsi="Arial"/>
          <w:sz w:val="22"/>
        </w:rPr>
        <w:t>This manuscript has not been published previously and is not under consideration elsewhere. We would be pleased to provide the full manuscript or any additional information.</w:t>
      </w:r>
    </w:p>
    <w:p>
      <w:pPr>
        <w:spacing w:before="240"/>
      </w:pPr>
      <w:r>
        <w:rPr>
          <w:rFonts w:ascii="Arial" w:hAnsi="Arial"/>
          <w:sz w:val="22"/>
        </w:rPr>
        <w:t>Sincerely,</w:t>
      </w:r>
    </w:p>
    <w:p>
      <w:pPr>
        <w:spacing w:before="480"/>
      </w:pPr>
      <w:r>
        <w:rPr>
          <w:rFonts w:ascii="Arial" w:hAnsi="Arial"/>
          <w:i/>
          <w:sz w:val="22"/>
        </w:rPr>
        <w:t>[Corresponding author name]</w:t>
        <w:br/>
        <w:t>[Affiliation]</w:t>
        <w:br/>
        <w:t>[Email]</w:t>
        <w:br/>
        <w:t>[ORCID iD]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