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276" w:lineRule="auto"/>
        <w:jc w:val="left"/>
      </w:pPr>
      <w:r>
        <w:rPr>
          <w:rFonts w:ascii="Times New Roman" w:hAnsi="Times New Roman"/>
          <w:b w:val="0"/>
          <w:i w:val="0"/>
          <w:sz w:val="24"/>
        </w:rPr>
        <w:t>July 01, 2026</w:t>
      </w:r>
    </w:p>
    <w:p>
      <w:pPr>
        <w:spacing w:after="0" w:before="0" w:line="276" w:lineRule="auto"/>
        <w:jc w:val="left"/>
      </w:pPr>
      <w:r>
        <w:rPr>
          <w:rFonts w:ascii="Times New Roman" w:hAnsi="Times New Roman"/>
          <w:b w:val="0"/>
          <w:i w:val="0"/>
          <w:sz w:val="24"/>
        </w:rPr>
        <w:t>Editor-in-Chief</w:t>
      </w:r>
    </w:p>
    <w:p>
      <w:pPr>
        <w:spacing w:after="0" w:before="0" w:line="276" w:lineRule="auto"/>
        <w:jc w:val="left"/>
      </w:pPr>
      <w:r>
        <w:rPr>
          <w:rFonts w:ascii="Times New Roman" w:hAnsi="Times New Roman"/>
          <w:b w:val="0"/>
          <w:i/>
          <w:sz w:val="24"/>
        </w:rPr>
        <w:t>Stem Cells</w:t>
      </w:r>
    </w:p>
    <w:p>
      <w:pPr>
        <w:spacing w:after="360" w:before="0" w:line="276" w:lineRule="auto"/>
        <w:jc w:val="left"/>
      </w:pPr>
      <w:r>
        <w:rPr>
          <w:rFonts w:ascii="Times New Roman" w:hAnsi="Times New Roman"/>
          <w:b w:val="0"/>
          <w:i w:val="0"/>
          <w:sz w:val="24"/>
        </w:rPr>
        <w:t>Oxford University Press</w:t>
      </w:r>
    </w:p>
    <w:p>
      <w:pPr>
        <w:spacing w:after="240" w:before="0" w:line="276" w:lineRule="auto"/>
        <w:jc w:val="left"/>
      </w:pPr>
      <w:r>
        <w:rPr>
          <w:rFonts w:ascii="Times New Roman" w:hAnsi="Times New Roman"/>
          <w:b w:val="0"/>
          <w:i w:val="0"/>
          <w:sz w:val="24"/>
        </w:rPr>
        <w:t>Dear Editor,</w:t>
      </w:r>
    </w:p>
    <w:p>
      <w:pPr>
        <w:spacing w:after="240" w:before="0" w:line="276" w:lineRule="auto"/>
        <w:jc w:val="left"/>
      </w:pPr>
      <w:r>
        <w:rPr>
          <w:rFonts w:ascii="Times New Roman" w:hAnsi="Times New Roman"/>
          <w:b w:val="0"/>
          <w:i w:val="0"/>
          <w:sz w:val="24"/>
        </w:rPr>
        <w:t>We respectfully submit our manuscript entitled “The Invisible Variables: Why Clonal Systems Are Not Immune to Environmental Confounding” for consideration as a Perspective in Stem Cells.</w:t>
      </w:r>
    </w:p>
    <w:p>
      <w:pPr>
        <w:spacing w:after="240" w:before="0" w:line="276" w:lineRule="auto"/>
        <w:jc w:val="left"/>
      </w:pPr>
      <w:r>
        <w:rPr>
          <w:rFonts w:ascii="Times New Roman" w:hAnsi="Times New Roman"/>
          <w:b w:val="0"/>
          <w:i w:val="0"/>
          <w:sz w:val="24"/>
        </w:rPr>
        <w:t>Pluripotent stem cell (PSC)-derived therapies are now entering clinical trials at scale, yet batch-to-batch variability in differentiation protocols remains a major barrier to both research reproducibility and clinical manufacturing. Our Perspective identifies an overlooked source of this variability: unmonitored environmental variables in the laboratory—including humidity, volatile organic compounds (VOCs), ambient light, electromagnetic fields, and barometric pressure. We introduce the concept of the ‘clonal complacency trap’: the assumption that genetic uniformity in isogenic cell lines guarantees experimental uniformity, which discourages investigators from measuring or adjusting for non-genetic confounders.</w:t>
      </w:r>
    </w:p>
    <w:p>
      <w:pPr>
        <w:spacing w:after="240" w:before="0" w:line="276" w:lineRule="auto"/>
        <w:jc w:val="left"/>
      </w:pPr>
      <w:r>
        <w:rPr>
          <w:rFonts w:ascii="Times New Roman" w:hAnsi="Times New Roman"/>
          <w:b w:val="0"/>
          <w:i w:val="0"/>
          <w:sz w:val="24"/>
        </w:rPr>
        <w:t>We present three convergent lines of evidence. First, we draw on the IVF field’s transformative experience, where controlling air quality and VOC exposure improved blastocyst rates by up to 18%, demonstrating that environmental optimization of early-stage cell biology is both feasible and impactful. Second, we synthesize recent findings showing that PSCs are uniquely vulnerable to environmental perturbations—osmotic stress, circadian disruption, and airborne pollutants—at magnitudes that leave somatic cells unaffected. Third, we analyze 6,101 GEO PSC datasets in a natural experiment exploiting geographic variation in academic calendars, demonstrating that apparent ‘seasonality’ in public databases is an institutional artifact driven by Japan’s fiscal year-end, not a biological signal. This underscores the need for prospective environmental measurement rather than retrospective inference.</w:t>
      </w:r>
    </w:p>
    <w:p>
      <w:pPr>
        <w:spacing w:after="240" w:before="0" w:line="276" w:lineRule="auto"/>
        <w:jc w:val="left"/>
      </w:pPr>
      <w:r>
        <w:rPr>
          <w:rFonts w:ascii="Times New Roman" w:hAnsi="Times New Roman"/>
          <w:b w:val="0"/>
          <w:i w:val="0"/>
          <w:sz w:val="24"/>
        </w:rPr>
        <w:t>We propose a concrete, low-cost research roadmap centered on IoT-based multi-parameter environmental monitoring to identify which invisible variables matter for PSC culture and cGMP manufacturing. This framework is directly actionable for the stem cell community.</w:t>
      </w:r>
    </w:p>
    <w:p>
      <w:pPr>
        <w:spacing w:after="240" w:before="0" w:line="276" w:lineRule="auto"/>
        <w:jc w:val="left"/>
      </w:pPr>
      <w:r>
        <w:rPr>
          <w:rFonts w:ascii="Times New Roman" w:hAnsi="Times New Roman"/>
          <w:b w:val="0"/>
          <w:i w:val="0"/>
          <w:sz w:val="24"/>
        </w:rPr>
        <w:t>Disclosure of related work: We have no related preprints, manuscripts, or published papers containing substantially similar content or using the same data currently under consideration elsewhere.</w:t>
      </w:r>
    </w:p>
    <w:p>
      <w:pPr>
        <w:spacing w:after="240" w:before="0" w:line="276" w:lineRule="auto"/>
        <w:jc w:val="left"/>
      </w:pPr>
      <w:r>
        <w:rPr>
          <w:rFonts w:ascii="Times New Roman" w:hAnsi="Times New Roman"/>
          <w:b w:val="0"/>
          <w:i w:val="0"/>
          <w:sz w:val="24"/>
        </w:rPr>
        <w:t>This manuscript has not been published previously and is not under consideration elsewhere. All authors have approved the submitted version and have no conflicts of interest to declare. No human or animal subjects were involved; the GEO analysis used only publicly available metadata.</w:t>
      </w:r>
    </w:p>
    <w:p>
      <w:pPr>
        <w:spacing w:after="240" w:before="0" w:line="276" w:lineRule="auto"/>
        <w:jc w:val="left"/>
      </w:pPr>
      <w:r>
        <w:rPr>
          <w:rFonts w:ascii="Times New Roman" w:hAnsi="Times New Roman"/>
          <w:b w:val="0"/>
          <w:i w:val="0"/>
          <w:sz w:val="24"/>
        </w:rPr>
        <w:t>We believe this Perspective will stimulate important discussion about environmental quality control in stem cell laboratories and the implications for clinical-grade manufacturing. We hope you will find it suitable for Stem Cells.</w:t>
      </w:r>
    </w:p>
    <w:p>
      <w:pPr>
        <w:spacing w:after="480" w:before="0" w:line="276" w:lineRule="auto"/>
        <w:jc w:val="left"/>
      </w:pPr>
      <w:r>
        <w:rPr>
          <w:rFonts w:ascii="Times New Roman" w:hAnsi="Times New Roman"/>
          <w:b w:val="0"/>
          <w:i w:val="0"/>
          <w:sz w:val="24"/>
        </w:rPr>
        <w:t>Sincerely,</w:t>
      </w:r>
    </w:p>
    <w:p>
      <w:pPr>
        <w:spacing w:after="0" w:before="0" w:line="276" w:lineRule="auto"/>
        <w:jc w:val="left"/>
      </w:pPr>
      <w:r>
        <w:rPr>
          <w:rFonts w:ascii="Times New Roman" w:hAnsi="Times New Roman"/>
          <w:b/>
          <w:i w:val="0"/>
          <w:sz w:val="24"/>
        </w:rPr>
        <w:t>[Corresponding author name]</w:t>
      </w:r>
    </w:p>
    <w:p>
      <w:pPr>
        <w:spacing w:after="0" w:before="0" w:line="276" w:lineRule="auto"/>
        <w:jc w:val="left"/>
      </w:pPr>
      <w:r>
        <w:rPr>
          <w:rFonts w:ascii="Times New Roman" w:hAnsi="Times New Roman"/>
          <w:b w:val="0"/>
          <w:i w:val="0"/>
          <w:sz w:val="24"/>
        </w:rPr>
        <w:t>[Affiliation / Department]</w:t>
      </w:r>
    </w:p>
    <w:p>
      <w:pPr>
        <w:spacing w:after="0" w:before="0" w:line="276" w:lineRule="auto"/>
        <w:jc w:val="left"/>
      </w:pPr>
      <w:r>
        <w:rPr>
          <w:rFonts w:ascii="Times New Roman" w:hAnsi="Times New Roman"/>
          <w:b w:val="0"/>
          <w:i w:val="0"/>
          <w:sz w:val="24"/>
        </w:rPr>
        <w:t>[Complete mailing address]</w:t>
      </w:r>
    </w:p>
    <w:p>
      <w:pPr>
        <w:spacing w:after="0" w:before="0" w:line="276" w:lineRule="auto"/>
        <w:jc w:val="left"/>
      </w:pPr>
      <w:r>
        <w:rPr>
          <w:rFonts w:ascii="Times New Roman" w:hAnsi="Times New Roman"/>
          <w:b w:val="0"/>
          <w:i w:val="0"/>
          <w:sz w:val="24"/>
        </w:rPr>
        <w:t>[Telephone number]</w:t>
      </w:r>
    </w:p>
    <w:p>
      <w:pPr>
        <w:spacing w:after="0" w:before="0" w:line="276" w:lineRule="auto"/>
        <w:jc w:val="left"/>
      </w:pPr>
      <w:r>
        <w:rPr>
          <w:rFonts w:ascii="Times New Roman" w:hAnsi="Times New Roman"/>
          <w:b w:val="0"/>
          <w:i w:val="0"/>
          <w:sz w:val="24"/>
        </w:rPr>
        <w:t>[Email address]</w:t>
      </w:r>
    </w:p>
    <w:p>
      <w:pPr>
        <w:spacing w:after="0" w:before="0" w:line="276" w:lineRule="auto"/>
        <w:jc w:val="left"/>
      </w:pPr>
      <w:r>
        <w:rPr>
          <w:rFonts w:ascii="Times New Roman" w:hAnsi="Times New Roman"/>
          <w:b w:val="0"/>
          <w:i w:val="0"/>
          <w:sz w:val="24"/>
        </w:rPr>
        <w:t>[ORCID 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