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We submit 'Mapping street-hail opportunity without fleet telemetry: a geospatial framework for pedestrian relocation in urban taxi access' for consideration in Computers, Environment and Urban Systems.</w:t>
      </w:r>
    </w:p>
    <w:p>
      <w:r>
        <w:t>The manuscript is an urban-computation study: it asks whether fine-scale spatial opportunity structure for street-hail access can be extracted from public data alone when proprietary fleet telemetry is unavailable. The contribution is geospatial and methodological — a directed road-network representation of modeled opportunity, a passenger-side pedestrian relocation formulation, and a validation architecture (component ablation, cross-specification transfer, spatial permutation nulls) that distinguishes structured urban signal from optimization tautology. It fits CEUS rather than a fleet-operations journal because the object of study is urban information structure and spatial computation, not taxi operations, dispatch, or fleet management.</w:t>
      </w:r>
    </w:p>
    <w:p>
      <w:r>
        <w:t>We report the audits honestly: transfer between distinct component constructions is real but weak, and gain magnitudes do not exceed a spatial permutation null. The framework is transferable to other data-constrained mobility systems. The manuscript is original, uses only legally accessible public data, involves no human subjects, and is not under consideration elsewhere.</w:t>
      </w:r>
    </w:p>
    <w:p>
      <w:r>
        <w:t>Sincerely,</w:t>
        <w:br/>
        <w:t>The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