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Street-hail opportunity mapped on a directed road network using only public data</w:t>
      </w:r>
    </w:p>
    <w:p>
      <w:pPr>
        <w:pStyle w:val="ListBullet"/>
      </w:pPr>
      <w:r>
        <w:t>Pedestrian relocation within 100-500 m optimized over modeled opportunity scores</w:t>
      </w:r>
    </w:p>
    <w:p>
      <w:pPr>
        <w:pStyle w:val="ListBullet"/>
      </w:pPr>
      <w:r>
        <w:t>Component ablation, cross-specification transfer, and permutation nulls audit validity</w:t>
      </w:r>
    </w:p>
    <w:p>
      <w:pPr>
        <w:pStyle w:val="ListBullet"/>
      </w:pPr>
      <w:r>
        <w:t>Gain reliability marginally exceeds a spatial null; magnitudes do not</w:t>
      </w:r>
    </w:p>
    <w:p>
      <w:pPr>
        <w:pStyle w:val="ListBullet"/>
      </w:pPr>
      <w:r>
        <w:t>Framework transfers to mobility settings lacking proprietary telemetry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