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Mapping street-hail opportunity without fleet telemetry: a geospatial framework for pedestrian relocation in urban taxi access</w:t>
      </w:r>
    </w:p>
    <w:p>
      <w:pPr>
        <w:pStyle w:val="Heading1"/>
      </w:pPr>
      <w:r>
        <w:t>Abstract</w:t>
      </w:r>
    </w:p>
    <w:p>
      <w:r>
        <w:t>Background: Street-hail taxi access in dense cities depends on fine-scale street-level opportunity structure that passengers cannot observe and researchers cannot measure without proprietary fleet telemetry. Methods: We construct a public-data-derived, relative street-hail opportunity score on the directed road network of Tokyo's five central wards (27,887 hail-feasible segments), combining road hierarchy, railway station locations, mapped attractors, and a published hourly taxi-use profile. For 2,000 sampled origins we optimize pedestrian relocation within 100-500 m walking distance and audit the result with component ablation (road-only vs attractor-only vs proxy vs combined), cross-specification transfer, and a 500-permutation spatial null with a within-district constrained variant, using origin-clustered bootstrap inference (5,000 replicates). Results: 97%-100% of origins have a higher-scoring segment within walking range, and the optimizer exceeds the nearest-major-road heuristic in 81% of origins at 300 m (paired Wilcoxon p&lt;0.001). Transfer between road-only and attractor-only selections is positive but weak (53% and 44% of origins), indicating partially independent information layers. Against the permutation null, the reliability of finding an improvement marginally exceeds chance (empirical p=0.02-0.09 at 200-500 m) but the gain magnitude does not — a generic heterogeneous surface produces larger local contrasts. Conclusions: Public urban data contain non-trivial spatial structure that can generate candidate street-hail relocation contrasts without proprietary fleet telemetry, providing a testable basis for subsequent empirical validation; the scores carry no waiting-time meaning.</w:t>
      </w:r>
    </w:p>
    <w:p>
      <w:r>
        <w:t>Keywords: geospatial analysis; urban mobility; public data; street-hail taxi; pedestrian relocation; spatial opportunity structure</w:t>
      </w:r>
    </w:p>
    <w:p>
      <w:pPr>
        <w:pStyle w:val="Heading1"/>
      </w:pPr>
      <w:r>
        <w:t>1. Introduction</w:t>
      </w:r>
    </w:p>
    <w:p>
      <w:r>
        <w:t>Street-hail taxi access is an urban mobility problem of information asymmetry: the fine-scale geography of where a vacant taxi is likely to pass is invisible to the pedestrian deciding where to stand. The data that could resolve it — vacant-taxi GPS trajectories — are proprietary operational telemetry held by fleet operators.</w:t>
      </w:r>
    </w:p>
    <w:p>
      <w:r>
        <w:t>Most computational mobility systems assume that barrier away. Taxi-demand prediction [1], stand siting [2], cruising-area recommendation [3], search equilibrium models [4], and passenger-side recommenders such as T-Finder [5] are all trained on fleet trajectories; pickup-point assignment in on-demand ride-sharing [6] likewise presumes observed demand. The unresolved methodological question is whether useful passenger-side spatial opportunity structure can be extracted when those data are unavailable.</w:t>
      </w:r>
    </w:p>
    <w:p>
      <w:r>
        <w:t>We address that question as an urban-computation problem. The scientific object is fine-scale urban opportunity structure for street-hail access under incomplete mobility information; the taxi use case is the empirical application. Because a constructed score can be trivially self-maximized by optimization, we additionally audit whether the apparent relocation signal is genuine urban structure — through component ablation, cross-specification transfer, and spatial permutation — rather than an optimization tautology.</w:t>
      </w:r>
    </w:p>
    <w:p>
      <w:r>
        <w:t>The novelty is the combination, not any single element: a telemetry-free public-data construction on a directed road-segment representation, a passenger-side relocation formulation, and a validation architecture (ablation, transfer, permutation) designed to separate structured urban signal from generic maximum-selection.</w:t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Study area</w:t>
      </w:r>
    </w:p>
    <w:p>
      <w:r>
        <w:t>Chiyoda, Chuo, Minato, Shinjuku, and Shibuya — the five contiguous central wards of Tokyo and a canonical street-hail environment [7].</w:t>
      </w:r>
    </w:p>
    <w:p>
      <w:pPr>
        <w:pStyle w:val="Heading2"/>
      </w:pPr>
      <w:r>
        <w:t>2.2 Public data sources</w:t>
      </w:r>
    </w:p>
    <w:p>
      <w:r>
        <w:t>OpenStreetMap road network and points of interest via Overpass [8]; FY2023 railway-station locations (MLIT National Land Numerical Information N02) [9]; the hourly taxi-use distribution from the Tokyo Taxi Center user-monitor survey [10]. The restricted CSIS Pseudo-PFLOW trajectory product was inaccessible and substituted (DATA_SOURCE_AUDIT). During revision we found the FY2023 N02 schema carries no passenger-count field, so the station term is an unweighted location kernel; the pipeline was rebuilt accordingly.</w:t>
      </w:r>
    </w:p>
    <w:p>
      <w:pPr>
        <w:pStyle w:val="Heading2"/>
      </w:pPr>
      <w:r>
        <w:t>2.3 Directed road-network construction</w:t>
      </w:r>
    </w:p>
    <w:p>
      <w:r>
        <w:t>The OSM driving graph was reduced to 27,887 hail-feasible directed segments (motorway, trunk, pedestrian classes excluded). The OSM walk graph (182,538 edges) supplies pedestrian distances (equirectangular metric at 35.68N).</w:t>
      </w:r>
    </w:p>
    <w:p>
      <w:pPr>
        <w:pStyle w:val="Heading2"/>
      </w:pPr>
      <w:r>
        <w:t>2.4 Public-data-derived opportunity score</w:t>
      </w:r>
    </w:p>
    <w:p>
      <w:r>
        <w:t>A circulation-potential proxy combines road-class weight w_road, a Gaussian demand-attractor kernel field D(e) (sigma=300 m), and a period multiplier P(h;ctx) from the monitor-survey profile blended toward a night-shifted variant in nightlife contexts:</w:t>
      </w:r>
    </w:p>
    <w:p>
      <w:pPr>
        <w:jc w:val="center"/>
      </w:pPr>
      <m:oMath>
        <m:sSub>
          <m:e>
            <m:r>
              <m:t>P</m:t>
            </m:r>
          </m:e>
          <m:sub>
            <m:r>
              <m:t>circ</m:t>
            </m:r>
          </m:sub>
        </m:sSub>
        <m:r>
          <m:t>(e,t) = w_road(e)·(0.3 + D(e))·P(h;ctx(e))</m:t>
        </m:r>
      </m:oMath>
    </w:p>
    <w:p>
      <w:r>
        <w:t>This is a modeled proxy, not observed taxi flow; the temporal structure is partly assumed.</w:t>
      </w:r>
    </w:p>
    <w:p>
      <w:pPr>
        <w:pStyle w:val="Heading2"/>
      </w:pPr>
      <w:r>
        <w:t>2.5 Component specifications</w:t>
      </w:r>
    </w:p>
    <w:p>
      <w:r>
        <w:t>Four specifications define the ablation family. Road-only uses hierarchy, degree, and lanes; attractor-only uses station, nightlife, hotel/hospital, transit, and taxi-stand kernels; the proxy uses the circulation potential above; the combined specification is</w:t>
      </w:r>
    </w:p>
    <w:p>
      <w:pPr>
        <w:jc w:val="center"/>
      </w:pPr>
      <m:oMath>
        <m:sSub>
          <m:e>
            <m:r>
              <m:t>S</m:t>
            </m:r>
          </m:e>
          <m:sub>
            <m:r>
              <m:t>COMB</m:t>
            </m:r>
          </m:sub>
        </m:sSub>
        <m:r>
          <m:t>(e,t) = z(z log(1+P_circ) + 0.5·S_road + 0.4·C_ctx)</m:t>
        </m:r>
      </m:oMath>
    </w:p>
    <w:p>
      <w:r>
        <w:t>All scores are z-standardized; weights are transparent and untuned.</w:t>
      </w:r>
    </w:p>
    <w:p>
      <w:pPr>
        <w:pStyle w:val="Heading2"/>
      </w:pPr>
      <w:r>
        <w:t>2.6 Origins and walking neighborhoods</w:t>
      </w:r>
    </w:p>
    <w:p>
      <w:r>
        <w:t>2,000 origins sampled uniformly from hail-feasible segments (seed 42). Reachable candidates are segments whose midpoint is within 25 m of a walk node reachable within 100/200/300/500 m.</w:t>
      </w:r>
    </w:p>
    <w:p>
      <w:pPr>
        <w:pStyle w:val="Heading2"/>
      </w:pPr>
      <w:r>
        <w:t>2.7 Relocation formulation and metrics</w:t>
      </w:r>
    </w:p>
    <w:p>
      <w:r>
        <w:t>The selected location maximizes the specification score over reachable candidates. The primary metric is the absolute gain</w:t>
      </w:r>
    </w:p>
    <w:p>
      <w:pPr>
        <w:jc w:val="center"/>
      </w:pPr>
      <m:oMath>
        <m:sSub>
          <m:e>
            <m:r>
              <m:t>G</m:t>
            </m:r>
          </m:e>
          <m:sub>
            <m:r>
              <m:t>S</m:t>
            </m:r>
          </m:sub>
        </m:sSub>
        <m:r>
          <m:t> = S(x*) - S0</m:t>
        </m:r>
      </m:oMath>
    </w:p>
    <w:p>
      <w:r>
        <w:t>in standardized units, with the fraction of origins improved as co-primary. Relative percentage gain is reported only secondarily: z-scores cross zero, making percentage denominators unstable.</w:t>
      </w:r>
    </w:p>
    <w:p>
      <w:pPr>
        <w:pStyle w:val="Heading2"/>
      </w:pPr>
      <w:r>
        <w:t>2.8 Baseline heuristics</w:t>
      </w:r>
    </w:p>
    <w:p>
      <w:r>
        <w:t>Stay; random relocation (10 seeded draws); nearest major-class road segment; per-specification optima.</w:t>
      </w:r>
    </w:p>
    <w:p>
      <w:pPr>
        <w:pStyle w:val="Heading2"/>
      </w:pPr>
      <w:r>
        <w:t>2.9 Cross-specification transfer</w:t>
      </w:r>
    </w:p>
    <w:p>
      <w:r>
        <w:t>For each origin, radius, and period, the location x* selected under specification A is evaluated under a distinct specification B:</w:t>
      </w:r>
    </w:p>
    <w:p>
      <w:pPr>
        <w:jc w:val="center"/>
      </w:pPr>
      <m:oMath>
        <m:r>
          <m:t>TG(A→B) = 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t>(x*</m:t>
        </m:r>
        <m:sSub>
          <m:e>
            <m:r>
              <m:t/>
            </m:r>
          </m:e>
          <m:sub>
            <m:r>
              <m:t>A</m:t>
            </m:r>
          </m:sub>
        </m:sSub>
        <m:r>
          <m:t>) - </m:t>
        </m:r>
        <m:sSub>
          <m:e>
            <m:r>
              <m:t>S</m:t>
            </m:r>
          </m:e>
          <m:sub>
            <m:r>
              <m:t>B</m:t>
            </m:r>
          </m:sub>
        </m:sSub>
        <m:r>
          <m:t>(x0)</m:t>
        </m:r>
      </m:oMath>
    </w:p>
    <w:p>
      <w:r>
        <w:t>We compute all six directed transfers among road-only, attractor-only, and the proxy, plus three transfers into the combined specification. Off-diagonal transfer between conceptually distinct component families (road-only and attractor-only) is the primary independence test; transfers into the combined score are weaker evidence because it embeds the constituents.</w:t>
      </w:r>
    </w:p>
    <w:p>
      <w:pPr>
        <w:pStyle w:val="Heading2"/>
      </w:pPr>
      <w:r>
        <w:t>2.10 Spatial permutation null</w:t>
      </w:r>
    </w:p>
    <w:p>
      <w:r>
        <w:t>To test whether observed gains reflect spatial structure rather than the generic property that a maximum over more candidates tends to exceed the origin value, we permute the combined score across all hail-feasible segments 500 times — preserving the marginal score distribution, network geometry, origin distribution, and candidate counts — and recompute the fraction improved and mean gain at each radius. A within-ward constrained permutation preserves coarse geographic structure. Empirical p-values use (1 + #{null &gt;= obs})/(1 + N).</w:t>
      </w:r>
    </w:p>
    <w:p>
      <w:pPr>
        <w:pStyle w:val="Heading2"/>
      </w:pPr>
      <w:r>
        <w:t>2.11 Cluster-aware statistical inference</w:t>
      </w:r>
    </w:p>
    <w:p>
      <w:r>
        <w:t>Origin-period rows are repeated measurements, not independent observations. For period-invariant specifications (road-only, attractor-only) inference uses unique origins (n = 1,961-1,999 with nonempty reachable sets). For period-varying specifications, bootstrap resampling (5,000 replicates) resamples origins and pools their period rows; paired tests use origin-mean differences. We report the clustering unit, replicate count, effect estimates, CIs, and p-values together rather than significance alone.</w:t>
      </w:r>
    </w:p>
    <w:p>
      <w:pPr>
        <w:pStyle w:val="Heading2"/>
      </w:pPr>
      <w:r>
        <w:t>2.12 Reproducibility</w:t>
      </w:r>
    </w:p>
    <w:p>
      <w:r>
        <w:t>Fixed seeds, raw-data snapshots with a SHA-256 acquisition ledger, all code and machine-readable tables provided.</w:t>
      </w:r>
    </w:p>
    <w:p>
      <w:pPr>
        <w:pStyle w:val="Heading1"/>
      </w:pPr>
      <w:r>
        <w:t>3. Results</w:t>
      </w:r>
    </w:p>
    <w:p>
      <w:pPr>
        <w:pStyle w:val="Heading2"/>
      </w:pPr>
      <w:r>
        <w:t>3.1 Spatial opportunity structure</w:t>
      </w:r>
    </w:p>
    <w:p>
      <w:r>
        <w:t>The modeled opportunity score forms continuous ridges along arterial corridors and station fronts with troughs in interior blocks (Figure 2). These are modeled contrasts, not observed taxi density.</w:t>
      </w:r>
    </w:p>
    <w:p>
      <w:r>
        <w:drawing>
          <wp:inline xmlns:a="http://schemas.openxmlformats.org/drawingml/2006/main" xmlns:pic="http://schemas.openxmlformats.org/drawingml/2006/picture">
            <wp:extent cx="5486400" cy="2420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0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Modeled street-hail opportunity (combined specification, SD units), weekday 17:00 and weekend 23:00.</w:t>
      </w:r>
    </w:p>
    <w:p>
      <w:pPr>
        <w:pStyle w:val="Heading2"/>
      </w:pPr>
      <w:r>
        <w:t>3.2 Within-walking-radius heterogeneity</w:t>
      </w:r>
    </w:p>
    <w:p>
      <w:r>
        <w:t>Under the combined specification, 84%-100% of origins have a higher-scoring segment within 100-500 m, mean absolute gain 0.69-1.93 SD (origin-clustered bootstrap CIs exclude zero; Table 2, Figure 4).</w:t>
      </w:r>
    </w:p>
    <w:p>
      <w:r>
        <w:drawing>
          <wp:inline xmlns:a="http://schemas.openxmlformats.org/drawingml/2006/main" xmlns:pic="http://schemas.openxmlformats.org/drawingml/2006/picture">
            <wp:extent cx="5486400" cy="3585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ain_by_radi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5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4. Distribution of absolute opportunity-score gain (SD units) by walking radius.</w:t>
      </w:r>
    </w:p>
    <w:p>
      <w:pPr>
        <w:pStyle w:val="Heading2"/>
      </w:pPr>
      <w:r>
        <w:t>3.3 Baseline relocation contrasts</w:t>
      </w:r>
    </w:p>
    <w:p>
      <w:r>
        <w:t>The optimizer exceeds random relocation in ~100% of origins across radii (Figure 5).</w:t>
      </w:r>
    </w:p>
    <w:p>
      <w:r>
        <w:drawing>
          <wp:inline xmlns:a="http://schemas.openxmlformats.org/drawingml/2006/main" xmlns:pic="http://schemas.openxmlformats.org/drawingml/2006/picture">
            <wp:extent cx="5486400" cy="3597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trateg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7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5. Mean modeled opportunity score by strategy (combined specification, all radii pooled). Error bars = SEM.</w:t>
      </w:r>
    </w:p>
    <w:p>
      <w:pPr>
        <w:pStyle w:val="Heading2"/>
      </w:pPr>
      <w:r>
        <w:t>3.4 Component ablation</w:t>
      </w:r>
    </w:p>
    <w:p>
      <w:r>
        <w:t>Every construction yields positive gains for most origins at 300 m (road-only 95%, attractor-only 99%, proxy 98%, combined 98%; Figure 7, Table 3). Segment rankings agree only moderately across specifications (mean Spearman 0.52-0.93): the constructions are genuinely distinct.</w:t>
      </w:r>
    </w:p>
    <w:p>
      <w:r>
        <w:drawing>
          <wp:inline xmlns:a="http://schemas.openxmlformats.org/drawingml/2006/main" xmlns:pic="http://schemas.openxmlformats.org/drawingml/2006/picture">
            <wp:extent cx="5486400" cy="16881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b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8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7. Component ablation: origins improved by radius (left), fraction beating nearest-major-road (middle), rank agreement with combined specification (right).</w:t>
      </w:r>
    </w:p>
    <w:p>
      <w:pPr>
        <w:pStyle w:val="Heading2"/>
      </w:pPr>
      <w:r>
        <w:t>3.5 Cross-specification transfer</w:t>
      </w:r>
    </w:p>
    <w:p>
      <w:r>
        <w:t>Locations selected under one construction retain benefit under another, but asymmetrically (Figure 8, Table 4): road-selected locations improve the attractor score for 53% of origins (mean 0.04 SD), and attractor-selected locations improve the road score for 43% (0.08 SD). Transfers toward the proxy are stronger (attr -&gt; proxy 69%, mean 0.27 SD; road -&gt; proxy 90%). Off-diagonal transfer between the two conceptually distinct component families is real but weak.</w:t>
      </w:r>
    </w:p>
    <w:p>
      <w:r>
        <w:drawing>
          <wp:inline xmlns:a="http://schemas.openxmlformats.org/drawingml/2006/main" xmlns:pic="http://schemas.openxmlformats.org/drawingml/2006/picture">
            <wp:extent cx="5486400" cy="2094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ransfer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4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8. Cross-specification transfer matrix at 300 m: mean transfer gain in SD units (left) and fraction of origins with positive transfer (right). Diagonal would show self-optimization; off-diagonal entries show transfer.</w:t>
      </w:r>
    </w:p>
    <w:p>
      <w:pPr>
        <w:pStyle w:val="Heading2"/>
      </w:pPr>
      <w:r>
        <w:t>3.6 Spatial permutation null</w:t>
      </w:r>
    </w:p>
    <w:p>
      <w:r>
        <w:t>Against 500 unconstrained permutations (weekday 17:00), the fraction of origins with any improvement marginally exceeds the null at 200-500 m (observed 0.983 vs null 0.979 at 300 m, empirical p=0.02-0.09) but is indistinguishable at 100 m (p=1.0). Critically, the mean gain does not exceed the null (observed 1.50 SD vs null 2.61 SD at 300 m): a spatially unstructured surface with the same marginal distribution produces larger local max-min contrasts. The within-ward constrained null gives the same pattern. What the real surface buys is reliability — a marginally higher chance that some improvement exists nearby — not larger gains (Figure 9).</w:t>
      </w:r>
    </w:p>
    <w:p>
      <w:r>
        <w:drawing>
          <wp:inline xmlns:a="http://schemas.openxmlformats.org/drawingml/2006/main" xmlns:pic="http://schemas.openxmlformats.org/drawingml/2006/picture">
            <wp:extent cx="5486400" cy="19950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ermutation_nul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9. Observed statistics (red) against the 500-permutation null distribution (gray), combined specification, 300 m, weekday 17:00.</w:t>
      </w:r>
    </w:p>
    <w:p>
      <w:pPr>
        <w:pStyle w:val="Heading2"/>
      </w:pPr>
      <w:r>
        <w:t>3.7 Nearest-major-road comparison</w:t>
      </w:r>
    </w:p>
    <w:p>
      <w:r>
        <w:t>The combined optimum exceeds the nearest major-road segment in 81% of origins at 300 m (paired mean surplus 0.22 SD, clustered 95% CI [0.21117390645170625, 0.2349538476276946], Wilcoxon p&lt;0.001). We describe this as additional modeled opportunity contrast beyond a simple road-hierarchy heuristic — not predictive superiority.</w:t>
      </w:r>
    </w:p>
    <w:p>
      <w:pPr>
        <w:pStyle w:val="Heading2"/>
      </w:pPr>
      <w:r>
        <w:t>3.8 Temporal and district model behavior</w:t>
      </w:r>
    </w:p>
    <w:p>
      <w:r>
        <w:t>Under the modeled temporal specifications, computed gains are largest in the weekday-morning period and the weekend specification shifts modeled opportunity toward nightlife contexts — input-profile consequences, not observed urban patterns (Figure 6).</w:t>
      </w:r>
    </w:p>
    <w:p>
      <w:r>
        <w:drawing>
          <wp:inline xmlns:a="http://schemas.openxmlformats.org/drawingml/2006/main" xmlns:pic="http://schemas.openxmlformats.org/drawingml/2006/picture">
            <wp:extent cx="5486400" cy="26537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heterogene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6. Modeled mean relocation gain by hour/day-type (left) and ward/radius (right).</w:t>
      </w:r>
    </w:p>
    <w:p>
      <w:pPr>
        <w:pStyle w:val="Heading2"/>
      </w:pPr>
      <w:r>
        <w:t>3.9 Sensitivity analyses</w:t>
      </w:r>
    </w:p>
    <w:p>
      <w:r>
        <w:t>Kernel bandwidth 150/500 m leaves per-origin gains nearly unchanged (rho 0.98/0.99).</w:t>
      </w:r>
    </w:p>
    <w:p>
      <w:r>
        <w:drawing>
          <wp:inline xmlns:a="http://schemas.openxmlformats.org/drawingml/2006/main" xmlns:pic="http://schemas.openxmlformats.org/drawingml/2006/picture">
            <wp:extent cx="5486400" cy="1708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rame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Analytical workflow: public data to modeled opportunity ranking to walkable relocation candidates, with ablation, transfer, and permutation audits.</w:t>
      </w:r>
    </w:p>
    <w:p>
      <w:r>
        <w:drawing>
          <wp:inline xmlns:a="http://schemas.openxmlformats.org/drawingml/2006/main" xmlns:pic="http://schemas.openxmlformats.org/drawingml/2006/picture">
            <wp:extent cx="5486400" cy="6901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orked_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3. Worked example (200 m, weekday 17:00): origin (star), reachable segments by modeled opportunity, nearest major road (blue square), optimizer choice (red circle).</w:t>
      </w:r>
    </w:p>
    <w:p>
      <w:pPr>
        <w:pStyle w:val="Heading1"/>
      </w:pPr>
      <w:r>
        <w:t>4. Discussion</w:t>
      </w:r>
    </w:p>
    <w:p>
      <w:pPr>
        <w:pStyle w:val="Heading2"/>
      </w:pPr>
      <w:r>
        <w:t>4.1 Three evidence levels</w:t>
      </w:r>
    </w:p>
    <w:p>
      <w:r>
        <w:t>Street-hail relocation claims should be read on three levels. Level 1, self-optimization: a model finds nearby locations that score higher under itself — trivially achievable and not evidence alone. Level 2, cross-specification transfer: locations selected from one urban information layer retain benefit under a distinct layer. Level 3, empirical passenger benefit: actual vacant-taxi encounters and waiting times. This paper addresses Levels 1 and 2; Paper 2 must address Level 3.</w:t>
      </w:r>
    </w:p>
    <w:p>
      <w:pPr>
        <w:pStyle w:val="Heading2"/>
      </w:pPr>
      <w:r>
        <w:t>4.2 Interpretation of the audits</w:t>
      </w:r>
    </w:p>
    <w:p>
      <w:r>
        <w:t>Component ablation shows the relocation signal is not an artifact of any single component family. Cross-specification transfer between road-only and attractor-only selections is positive but weak and asymmetric, indicating partially nested information layers rather than one dominant structure. The permutation analysis is the most sobering: the reliability of improvement marginally exceeds a spatially unstructured null, but gain magnitudes are fully consistent with generic maximum-selection. The defensible claim is therefore narrow: public data identify where opportunity is modeled to be locally higher, with a reliability slightly above chance — not that the modeled gains are spatially exceptional.</w:t>
      </w:r>
    </w:p>
    <w:p>
      <w:pPr>
        <w:pStyle w:val="Heading2"/>
      </w:pPr>
      <w:r>
        <w:t>4.3 CEUS-relevant contributions</w:t>
      </w:r>
    </w:p>
    <w:p>
      <w:r>
        <w:t>(1) A geospatial framework representing street-hail opportunity on a directed road network without fleet telemetry. (2) A passenger-side relocation formulation over fine-scale urban opportunity gradients. (3) A validation architecture — ablation, transfer, permutation — that distinguishes structured urban signal from optimization tautology and is transferable to other data-constrained mobility settings. (4) The framework applies wherever proprietary operational data are unavailable.</w:t>
      </w:r>
    </w:p>
    <w:p>
      <w:pPr>
        <w:pStyle w:val="Heading2"/>
      </w:pPr>
      <w:r>
        <w:t>4.4 Limitations</w:t>
      </w:r>
    </w:p>
    <w:p>
      <w:r>
        <w:t>No observed vacant-taxi ground truth; scores are uncalibrated proxies, not waiting-time estimates; taxi operational behavior is not directly observed; temporal structure partly reflects model inputs; the Tokyo context may limit transferability; roadside legal/physical hail feasibility is imperfectly represented; cross-specification transfer is not empirical validation; and the FY2023 station data lack passenger counts, so the station term is unweighted.</w:t>
      </w:r>
    </w:p>
    <w:p>
      <w:pPr>
        <w:pStyle w:val="Heading2"/>
      </w:pPr>
      <w:r>
        <w:t>4.5 Relationship to Paper 2</w:t>
      </w:r>
    </w:p>
    <w:p>
      <w:r>
        <w:t>Paper 2 asks whether the public-data-derived relocation ranking corresponds to actual vacant-taxi passage and reduces observed street-hail waiting time, via roadside observation, waiting-time measurement, calibration, and prospective testing. This study supplies candidate spatial contrasts for that validation.</w:t>
      </w:r>
    </w:p>
    <w:p>
      <w:pPr>
        <w:pStyle w:val="Heading1"/>
      </w:pPr>
      <w:r>
        <w:t>5. Conclusion</w:t>
      </w:r>
    </w:p>
    <w:p>
      <w:r>
        <w:t>Public urban data contain non-trivial spatial structure that can generate candidate street-hail relocation contrasts without proprietary fleet telemetry — a reliability marginally above a spatial null, with weak but real transfer between distinct component constructions — providing a testable basis for subsequent empirical validation.</w:t>
      </w:r>
    </w:p>
    <w:p>
      <w:pPr>
        <w:pStyle w:val="Heading1"/>
      </w:pPr>
      <w:r>
        <w:t>Declarations</w:t>
      </w:r>
    </w:p>
    <w:p>
      <w:r>
        <w:t>Data availability: all inputs are public datasets listed in Table 1; code and derived tables are available in the project repository. Competing interests: none declared. Funding: none. Author contributions: single-author work (conceptualization, analysis, writing).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1. </w:t>
      </w:r>
      <w:r>
        <w:t>Moreira-Matias L, Gama J, Ferreira M, Mendes-Moreira J, Damas L. Predicting taxi-passenger demand using streaming data. IEEE Trans Intell Transp Syst. 2013;14(3):1393-1402. doi:10.1109/TITS.2013.2261624.</w:t>
      </w:r>
    </w:p>
    <w:p>
      <w:r>
        <w:rPr>
          <w:b/>
        </w:rPr>
        <w:t xml:space="preserve">2. </w:t>
      </w:r>
      <w:r>
        <w:t>Ocalir EV, Ercoskun OY, Tur R. An integrated model of GIS and fuzzy logic (FMOTS) for location decisions of taxicab stands. Expert Syst Appl. 2010;37(7):4892-4901.</w:t>
      </w:r>
    </w:p>
    <w:p>
      <w:r>
        <w:rPr>
          <w:b/>
        </w:rPr>
        <w:t xml:space="preserve">3. </w:t>
      </w:r>
      <w:r>
        <w:t>Hwang RH, Hsueh YL, Chen YT. An effective taxi recommender system based on a spatio-temporal factor analysis model. Inf Sci. 2015;314:28-40.</w:t>
      </w:r>
    </w:p>
    <w:p>
      <w:r>
        <w:rPr>
          <w:b/>
        </w:rPr>
        <w:t xml:space="preserve">4. </w:t>
      </w:r>
      <w:r>
        <w:t>Yang H, Leung CWY, Wong SC, Bell MGH. Equilibria of bilateral taxi-customer searching and meeting on networks. Transp Res Part B. 2010;44(8-9):1067-1083.</w:t>
      </w:r>
    </w:p>
    <w:p>
      <w:r>
        <w:rPr>
          <w:b/>
        </w:rPr>
        <w:t xml:space="preserve">5. </w:t>
      </w:r>
      <w:r>
        <w:t>Yuan NJ, Zheng Y, Zhang L, Xie X. T-Finder: a recommender system for finding passengers and vacant taxis. IEEE Trans Knowl Data Eng. 2013;25(10):2390-2403. doi:10.1109/TKDE.2012.153.</w:t>
      </w:r>
    </w:p>
    <w:p>
      <w:r>
        <w:rPr>
          <w:b/>
        </w:rPr>
        <w:t xml:space="preserve">6. </w:t>
      </w:r>
      <w:r>
        <w:t>Alonso-Mora J, Samaranayake S, Wallar A, Frazzoli E, Rus D. On-demand high-capacity ride-sharing via dynamic trip-vehicle assignment. Proc Natl Acad Sci USA. 2017;114(3):462-467. doi:10.1073/pnas.1611675114.</w:t>
      </w:r>
    </w:p>
    <w:p>
      <w:r>
        <w:rPr>
          <w:b/>
        </w:rPr>
        <w:t xml:space="preserve">7. </w:t>
      </w:r>
      <w:r>
        <w:t>Tokyo Hire-Taxi Association. Tokyo no Taxi 2025. https://taxi-tokyo.or.jp/ (accessed 2026-09-29).</w:t>
      </w:r>
    </w:p>
    <w:p>
      <w:r>
        <w:rPr>
          <w:b/>
        </w:rPr>
        <w:t xml:space="preserve">8. </w:t>
      </w:r>
      <w:r>
        <w:t>OpenStreetMap contributors. Planet dump and Overpass API. https://www.openstreetmap.org (ODbL; accessed 2026-09-29 via OSMnx 2.0.7).</w:t>
      </w:r>
    </w:p>
    <w:p>
      <w:r>
        <w:rPr>
          <w:b/>
        </w:rPr>
        <w:t xml:space="preserve">9. </w:t>
      </w:r>
      <w:r>
        <w:t>Ministry of Land, Infrastructure, Transport and Tourism (Japan). National Land Numerical Information, N02 railway dataset (FY2023). https://nlftp.mlit.go.jp/ksj/ (accessed 2026-09-29).</w:t>
      </w:r>
    </w:p>
    <w:p>
      <w:r>
        <w:rPr>
          <w:b/>
        </w:rPr>
        <w:t xml:space="preserve">10. </w:t>
      </w:r>
      <w:r>
        <w:t>Tokyo Taxi Center. Taxi user monitor survey, FY2023 tabulation report. https://www.tokyo-tc.or.jp/center/uploads/monitor_2024.pdf (accessed 2026-09-29).</w:t>
      </w:r>
    </w:p>
    <w:p>
      <w:pPr>
        <w:pStyle w:val="Heading1"/>
      </w:pPr>
      <w:r>
        <w:t>Table 1. Public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Provider/License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OSM road network + POIs</w:t>
            </w:r>
          </w:p>
        </w:tc>
        <w:tc>
          <w:tcPr>
            <w:tcW w:type="dxa" w:w="2160"/>
          </w:tcPr>
          <w:p>
            <w:r>
              <w:t>OSM contributors / ODbL</w:t>
            </w:r>
          </w:p>
        </w:tc>
        <w:tc>
          <w:tcPr>
            <w:tcW w:type="dxa" w:w="2160"/>
          </w:tcPr>
          <w:p>
            <w:r>
              <w:t>5 central wards</w:t>
            </w:r>
          </w:p>
        </w:tc>
        <w:tc>
          <w:tcPr>
            <w:tcW w:type="dxa" w:w="2160"/>
          </w:tcPr>
          <w:p>
            <w:r>
              <w:t>segments, context, walk network</w:t>
            </w:r>
          </w:p>
        </w:tc>
      </w:tr>
      <w:tr>
        <w:tc>
          <w:tcPr>
            <w:tcW w:type="dxa" w:w="2160"/>
          </w:tcPr>
          <w:p>
            <w:r>
              <w:t>NLNI N02 station locations</w:t>
            </w:r>
          </w:p>
        </w:tc>
        <w:tc>
          <w:tcPr>
            <w:tcW w:type="dxa" w:w="2160"/>
          </w:tcPr>
          <w:p>
            <w:r>
              <w:t>MLIT / NLNI terms</w:t>
            </w:r>
          </w:p>
        </w:tc>
        <w:tc>
          <w:tcPr>
            <w:tcW w:type="dxa" w:w="2160"/>
          </w:tcPr>
          <w:p>
            <w:r>
              <w:t>FY2023</w:t>
            </w:r>
          </w:p>
        </w:tc>
        <w:tc>
          <w:tcPr>
            <w:tcW w:type="dxa" w:w="2160"/>
          </w:tcPr>
          <w:p>
            <w:r>
              <w:t>station-presence attractor</w:t>
            </w:r>
          </w:p>
        </w:tc>
      </w:tr>
      <w:tr>
        <w:tc>
          <w:tcPr>
            <w:tcW w:type="dxa" w:w="2160"/>
          </w:tcPr>
          <w:p>
            <w:r>
              <w:t>Tokyo Taxi Center monitor survey</w:t>
            </w:r>
          </w:p>
        </w:tc>
        <w:tc>
          <w:tcPr>
            <w:tcW w:type="dxa" w:w="2160"/>
          </w:tcPr>
          <w:p>
            <w:r>
              <w:t>Tokyo Taxi Center</w:t>
            </w:r>
          </w:p>
        </w:tc>
        <w:tc>
          <w:tcPr>
            <w:tcW w:type="dxa" w:w="2160"/>
          </w:tcPr>
          <w:p>
            <w:r>
              <w:t>FY2023, n=2,662</w:t>
            </w:r>
          </w:p>
        </w:tc>
        <w:tc>
          <w:tcPr>
            <w:tcW w:type="dxa" w:w="2160"/>
          </w:tcPr>
          <w:p>
            <w:r>
              <w:t>temporal profile</w:t>
            </w:r>
          </w:p>
        </w:tc>
      </w:tr>
      <w:tr>
        <w:tc>
          <w:tcPr>
            <w:tcW w:type="dxa" w:w="2160"/>
          </w:tcPr>
          <w:p>
            <w:r>
              <w:t>THTA yearbook 2025</w:t>
            </w:r>
          </w:p>
        </w:tc>
        <w:tc>
          <w:tcPr>
            <w:tcW w:type="dxa" w:w="2160"/>
          </w:tcPr>
          <w:p>
            <w:r>
              <w:t>THTA</w:t>
            </w:r>
          </w:p>
        </w:tc>
        <w:tc>
          <w:tcPr>
            <w:tcW w:type="dxa" w:w="2160"/>
          </w:tcPr>
          <w:p>
            <w:r>
              <w:t>FY2024</w:t>
            </w:r>
          </w:p>
        </w:tc>
        <w:tc>
          <w:tcPr>
            <w:tcW w:type="dxa" w:w="2160"/>
          </w:tcPr>
          <w:p>
            <w:r>
              <w:t>background</w:t>
            </w:r>
          </w:p>
        </w:tc>
      </w:tr>
    </w:tbl>
    <w:p>
      <w:pPr>
        <w:pStyle w:val="Heading1"/>
      </w:pPr>
      <w:r>
        <w:t>Table 2. Relocation outcomes by radius (combined specification)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Radius m</w:t>
            </w:r>
          </w:p>
        </w:tc>
        <w:tc>
          <w:tcPr>
            <w:tcW w:type="dxa" w:w="1234"/>
          </w:tcPr>
          <w:p>
            <w:r>
              <w:t>origins</w:t>
            </w:r>
          </w:p>
        </w:tc>
        <w:tc>
          <w:tcPr>
            <w:tcW w:type="dxa" w:w="1234"/>
          </w:tcPr>
          <w:p>
            <w:r>
              <w:t>improved</w:t>
            </w:r>
          </w:p>
        </w:tc>
        <w:tc>
          <w:tcPr>
            <w:tcW w:type="dxa" w:w="1234"/>
          </w:tcPr>
          <w:p>
            <w:r>
              <w:t>&gt;0.1 SD</w:t>
            </w:r>
          </w:p>
        </w:tc>
        <w:tc>
          <w:tcPr>
            <w:tcW w:type="dxa" w:w="1234"/>
          </w:tcPr>
          <w:p>
            <w:r>
              <w:t>mean gain (SD)</w:t>
            </w:r>
          </w:p>
        </w:tc>
        <w:tc>
          <w:tcPr>
            <w:tcW w:type="dxa" w:w="1234"/>
          </w:tcPr>
          <w:p>
            <w:r>
              <w:t>beats nearest major</w:t>
            </w:r>
          </w:p>
        </w:tc>
        <w:tc>
          <w:tcPr>
            <w:tcW w:type="dxa" w:w="1234"/>
          </w:tcPr>
          <w:p>
            <w:r>
              <w:t>gain CI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1961</w:t>
            </w:r>
          </w:p>
        </w:tc>
        <w:tc>
          <w:tcPr>
            <w:tcW w:type="dxa" w:w="1234"/>
          </w:tcPr>
          <w:p>
            <w:r>
              <w:t>84%</w:t>
            </w:r>
          </w:p>
        </w:tc>
        <w:tc>
          <w:tcPr>
            <w:tcW w:type="dxa" w:w="1234"/>
          </w:tcPr>
          <w:p>
            <w:r>
              <w:t>67%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[0.6486450597175882, 0.7222897453735109]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1989</w:t>
            </w:r>
          </w:p>
        </w:tc>
        <w:tc>
          <w:tcPr>
            <w:tcW w:type="dxa" w:w="1234"/>
          </w:tcPr>
          <w:p>
            <w:r>
              <w:t>97%</w:t>
            </w:r>
          </w:p>
        </w:tc>
        <w:tc>
          <w:tcPr>
            <w:tcW w:type="dxa" w:w="1234"/>
          </w:tcPr>
          <w:p>
            <w:r>
              <w:t>90%</w:t>
            </w:r>
          </w:p>
        </w:tc>
        <w:tc>
          <w:tcPr>
            <w:tcW w:type="dxa" w:w="1234"/>
          </w:tcPr>
          <w:p>
            <w:r>
              <w:t>1.16</w:t>
            </w:r>
          </w:p>
        </w:tc>
        <w:tc>
          <w:tcPr>
            <w:tcW w:type="dxa" w:w="1234"/>
          </w:tcPr>
          <w:p>
            <w:r>
              <w:t>74%</w:t>
            </w:r>
          </w:p>
        </w:tc>
        <w:tc>
          <w:tcPr>
            <w:tcW w:type="dxa" w:w="1234"/>
          </w:tcPr>
          <w:p>
            <w:r>
              <w:t>[1.1244419940895996, 1.2039700077872137]</w:t>
            </w:r>
          </w:p>
        </w:tc>
      </w:tr>
      <w:tr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1997</w:t>
            </w:r>
          </w:p>
        </w:tc>
        <w:tc>
          <w:tcPr>
            <w:tcW w:type="dxa" w:w="1234"/>
          </w:tcPr>
          <w:p>
            <w:r>
              <w:t>98%</w:t>
            </w:r>
          </w:p>
        </w:tc>
        <w:tc>
          <w:tcPr>
            <w:tcW w:type="dxa" w:w="1234"/>
          </w:tcPr>
          <w:p>
            <w:r>
              <w:t>96%</w:t>
            </w:r>
          </w:p>
        </w:tc>
        <w:tc>
          <w:tcPr>
            <w:tcW w:type="dxa" w:w="1234"/>
          </w:tcPr>
          <w:p>
            <w:r>
              <w:t>1.50</w:t>
            </w:r>
          </w:p>
        </w:tc>
        <w:tc>
          <w:tcPr>
            <w:tcW w:type="dxa" w:w="1234"/>
          </w:tcPr>
          <w:p>
            <w:r>
              <w:t>81%</w:t>
            </w:r>
          </w:p>
        </w:tc>
        <w:tc>
          <w:tcPr>
            <w:tcW w:type="dxa" w:w="1234"/>
          </w:tcPr>
          <w:p>
            <w:r>
              <w:t>[1.4617260546515896, 1.5390870712050202]</w:t>
            </w:r>
          </w:p>
        </w:tc>
      </w:tr>
      <w:tr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1999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99%</w:t>
            </w:r>
          </w:p>
        </w:tc>
        <w:tc>
          <w:tcPr>
            <w:tcW w:type="dxa" w:w="1234"/>
          </w:tcPr>
          <w:p>
            <w:r>
              <w:t>1.93</w:t>
            </w:r>
          </w:p>
        </w:tc>
        <w:tc>
          <w:tcPr>
            <w:tcW w:type="dxa" w:w="1234"/>
          </w:tcPr>
          <w:p>
            <w:r>
              <w:t>91%</w:t>
            </w:r>
          </w:p>
        </w:tc>
        <w:tc>
          <w:tcPr>
            <w:tcW w:type="dxa" w:w="1234"/>
          </w:tcPr>
          <w:p>
            <w:r>
              <w:t>[1.893725653229516, 1.9683781357507475]</w:t>
            </w:r>
          </w:p>
        </w:tc>
      </w:tr>
    </w:tbl>
    <w:p>
      <w:pPr>
        <w:pStyle w:val="Heading1"/>
      </w:pPr>
      <w:r>
        <w:t>Table 3. Ablation summary (300 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Specification</w:t>
            </w:r>
          </w:p>
        </w:tc>
        <w:tc>
          <w:tcPr>
            <w:tcW w:type="dxa" w:w="1440"/>
          </w:tcPr>
          <w:p>
            <w:r>
              <w:t>improved</w:t>
            </w:r>
          </w:p>
        </w:tc>
        <w:tc>
          <w:tcPr>
            <w:tcW w:type="dxa" w:w="1440"/>
          </w:tcPr>
          <w:p>
            <w:r>
              <w:t>&gt;0.1 SD</w:t>
            </w:r>
          </w:p>
        </w:tc>
        <w:tc>
          <w:tcPr>
            <w:tcW w:type="dxa" w:w="1440"/>
          </w:tcPr>
          <w:p>
            <w:r>
              <w:t>beats nearest major</w:t>
            </w:r>
          </w:p>
        </w:tc>
        <w:tc>
          <w:tcPr>
            <w:tcW w:type="dxa" w:w="1440"/>
          </w:tcPr>
          <w:p>
            <w:r>
              <w:t>beats random</w:t>
            </w:r>
          </w:p>
        </w:tc>
        <w:tc>
          <w:tcPr>
            <w:tcW w:type="dxa" w:w="1440"/>
          </w:tcPr>
          <w:p>
            <w:r>
              <w:t>best is major road</w:t>
            </w:r>
          </w:p>
        </w:tc>
      </w:tr>
      <w:tr>
        <w:tc>
          <w:tcPr>
            <w:tcW w:type="dxa" w:w="1440"/>
          </w:tcPr>
          <w:p>
            <w:r>
              <w:t>Attractor-only</w:t>
            </w:r>
          </w:p>
        </w:tc>
        <w:tc>
          <w:tcPr>
            <w:tcW w:type="dxa" w:w="1440"/>
          </w:tcPr>
          <w:p>
            <w:r>
              <w:t>99%</w:t>
            </w:r>
          </w:p>
        </w:tc>
        <w:tc>
          <w:tcPr>
            <w:tcW w:type="dxa" w:w="1440"/>
          </w:tcPr>
          <w:p>
            <w:r>
              <w:t>92%</w:t>
            </w:r>
          </w:p>
        </w:tc>
        <w:tc>
          <w:tcPr>
            <w:tcW w:type="dxa" w:w="1440"/>
          </w:tcPr>
          <w:p>
            <w:r>
              <w:t>99%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12%</w:t>
            </w:r>
          </w:p>
        </w:tc>
      </w:tr>
      <w:tr>
        <w:tc>
          <w:tcPr>
            <w:tcW w:type="dxa" w:w="1440"/>
          </w:tcPr>
          <w:p>
            <w:r>
              <w:t>Combined</w:t>
            </w:r>
          </w:p>
        </w:tc>
        <w:tc>
          <w:tcPr>
            <w:tcW w:type="dxa" w:w="1440"/>
          </w:tcPr>
          <w:p>
            <w:r>
              <w:t>98%</w:t>
            </w:r>
          </w:p>
        </w:tc>
        <w:tc>
          <w:tcPr>
            <w:tcW w:type="dxa" w:w="1440"/>
          </w:tcPr>
          <w:p>
            <w:r>
              <w:t>96%</w:t>
            </w:r>
          </w:p>
        </w:tc>
        <w:tc>
          <w:tcPr>
            <w:tcW w:type="dxa" w:w="1440"/>
          </w:tcPr>
          <w:p>
            <w:r>
              <w:t>81%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t>Circulation proxy</w:t>
            </w:r>
          </w:p>
        </w:tc>
        <w:tc>
          <w:tcPr>
            <w:tcW w:type="dxa" w:w="1440"/>
          </w:tcPr>
          <w:p>
            <w:r>
              <w:t>98%</w:t>
            </w:r>
          </w:p>
        </w:tc>
        <w:tc>
          <w:tcPr>
            <w:tcW w:type="dxa" w:w="1440"/>
          </w:tcPr>
          <w:p>
            <w:r>
              <w:t>93%</w:t>
            </w:r>
          </w:p>
        </w:tc>
        <w:tc>
          <w:tcPr>
            <w:tcW w:type="dxa" w:w="1440"/>
          </w:tcPr>
          <w:p>
            <w:r>
              <w:t>83%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56%</w:t>
            </w:r>
          </w:p>
        </w:tc>
      </w:tr>
      <w:tr>
        <w:tc>
          <w:tcPr>
            <w:tcW w:type="dxa" w:w="1440"/>
          </w:tcPr>
          <w:p>
            <w:r>
              <w:t>Road-only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66%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55%</w:t>
            </w:r>
          </w:p>
        </w:tc>
      </w:tr>
    </w:tbl>
    <w:p>
      <w:pPr>
        <w:pStyle w:val="Heading1"/>
      </w:pPr>
      <w:r>
        <w:t>Table 4. Cross-specification transfer at 300 m (selector -&gt; evaluator)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Selector \ Evaluator</w:t>
            </w:r>
          </w:p>
        </w:tc>
        <w:tc>
          <w:tcPr>
            <w:tcW w:type="dxa" w:w="1728"/>
          </w:tcPr>
          <w:p>
            <w:r>
              <w:t>Road-only</w:t>
            </w:r>
          </w:p>
        </w:tc>
        <w:tc>
          <w:tcPr>
            <w:tcW w:type="dxa" w:w="1728"/>
          </w:tcPr>
          <w:p>
            <w:r>
              <w:t>Attractor-only</w:t>
            </w:r>
          </w:p>
        </w:tc>
        <w:tc>
          <w:tcPr>
            <w:tcW w:type="dxa" w:w="1728"/>
          </w:tcPr>
          <w:p>
            <w:r>
              <w:t>Circulation proxy</w:t>
            </w:r>
          </w:p>
        </w:tc>
        <w:tc>
          <w:tcPr>
            <w:tcW w:type="dxa" w:w="1728"/>
          </w:tcPr>
          <w:p>
            <w:r>
              <w:t>Combined</w:t>
            </w:r>
          </w:p>
        </w:tc>
      </w:tr>
      <w:tr>
        <w:tc>
          <w:tcPr>
            <w:tcW w:type="dxa" w:w="1728"/>
          </w:tcPr>
          <w:p>
            <w:r>
              <w:t>Road-only</w:t>
            </w:r>
          </w:p>
        </w:tc>
        <w:tc>
          <w:tcPr>
            <w:tcW w:type="dxa" w:w="1728"/>
          </w:tcPr>
          <w:p>
            <w:r>
              <w:t>(self)</w:t>
            </w:r>
          </w:p>
        </w:tc>
        <w:tc>
          <w:tcPr>
            <w:tcW w:type="dxa" w:w="1728"/>
          </w:tcPr>
          <w:p>
            <w:r>
              <w:t>0.04 SD / 53%</w:t>
            </w:r>
          </w:p>
        </w:tc>
        <w:tc>
          <w:tcPr>
            <w:tcW w:type="dxa" w:w="1728"/>
          </w:tcPr>
          <w:p>
            <w:r>
              <w:t>1.48 SD / 90%</w:t>
            </w:r>
          </w:p>
        </w:tc>
        <w:tc>
          <w:tcPr>
            <w:tcW w:type="dxa" w:w="1728"/>
          </w:tcPr>
          <w:p>
            <w:r>
              <w:t>1.37 SD / 93%</w:t>
            </w:r>
          </w:p>
        </w:tc>
      </w:tr>
      <w:tr>
        <w:tc>
          <w:tcPr>
            <w:tcW w:type="dxa" w:w="1728"/>
          </w:tcPr>
          <w:p>
            <w:r>
              <w:t>Attractor-only</w:t>
            </w:r>
          </w:p>
        </w:tc>
        <w:tc>
          <w:tcPr>
            <w:tcW w:type="dxa" w:w="1728"/>
          </w:tcPr>
          <w:p>
            <w:r>
              <w:t>0.08 SD / 43%</w:t>
            </w:r>
          </w:p>
        </w:tc>
        <w:tc>
          <w:tcPr>
            <w:tcW w:type="dxa" w:w="1728"/>
          </w:tcPr>
          <w:p>
            <w:r>
              <w:t>(self)</w:t>
            </w:r>
          </w:p>
        </w:tc>
        <w:tc>
          <w:tcPr>
            <w:tcW w:type="dxa" w:w="1728"/>
          </w:tcPr>
          <w:p>
            <w:r>
              <w:t>0.27 SD / 69%</w:t>
            </w:r>
          </w:p>
        </w:tc>
        <w:tc>
          <w:tcPr>
            <w:tcW w:type="dxa" w:w="1728"/>
          </w:tcPr>
          <w:p>
            <w:r>
              <w:t>0.36 SD / 69%</w:t>
            </w:r>
          </w:p>
        </w:tc>
      </w:tr>
      <w:tr>
        <w:tc>
          <w:tcPr>
            <w:tcW w:type="dxa" w:w="1728"/>
          </w:tcPr>
          <w:p>
            <w:r>
              <w:t>Circulation proxy</w:t>
            </w:r>
          </w:p>
        </w:tc>
        <w:tc>
          <w:tcPr>
            <w:tcW w:type="dxa" w:w="1728"/>
          </w:tcPr>
          <w:p>
            <w:r>
              <w:t>1.58 SD / 87%</w:t>
            </w:r>
          </w:p>
        </w:tc>
        <w:tc>
          <w:tcPr>
            <w:tcW w:type="dxa" w:w="1728"/>
          </w:tcPr>
          <w:p>
            <w:r>
              <w:t>0.19 SD / 73%</w:t>
            </w:r>
          </w:p>
        </w:tc>
        <w:tc>
          <w:tcPr>
            <w:tcW w:type="dxa" w:w="1728"/>
          </w:tcPr>
          <w:p>
            <w:r>
              <w:t>(self)</w:t>
            </w:r>
          </w:p>
        </w:tc>
        <w:tc>
          <w:tcPr>
            <w:tcW w:type="dxa" w:w="1728"/>
          </w:tcPr>
          <w:p>
            <w:r>
              <w:t>1.46 SD / 97%</w:t>
            </w:r>
          </w:p>
        </w:tc>
      </w:tr>
      <w:tr>
        <w:tc>
          <w:tcPr>
            <w:tcW w:type="dxa" w:w="1728"/>
          </w:tcPr>
          <w:p>
            <w:r>
              <w:t>Combined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(self)</w:t>
            </w:r>
          </w:p>
        </w:tc>
      </w:tr>
    </w:tbl>
    <w:p>
      <w:pPr>
        <w:pStyle w:val="Heading1"/>
      </w:pPr>
      <w:r>
        <w:t>Table 5. Spatial permutation null (combined specification, weekday 17:00, 500 permutations)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Radius m</w:t>
            </w:r>
          </w:p>
        </w:tc>
        <w:tc>
          <w:tcPr>
            <w:tcW w:type="dxa" w:w="1440"/>
          </w:tcPr>
          <w:p>
            <w:r>
              <w:t>obs frac&gt;0</w:t>
            </w:r>
          </w:p>
        </w:tc>
        <w:tc>
          <w:tcPr>
            <w:tcW w:type="dxa" w:w="1440"/>
          </w:tcPr>
          <w:p>
            <w:r>
              <w:t>null frac&gt;0</w:t>
            </w:r>
          </w:p>
        </w:tc>
        <w:tc>
          <w:tcPr>
            <w:tcW w:type="dxa" w:w="1440"/>
          </w:tcPr>
          <w:p>
            <w:r>
              <w:t>empirical p</w:t>
            </w:r>
          </w:p>
        </w:tc>
        <w:tc>
          <w:tcPr>
            <w:tcW w:type="dxa" w:w="1440"/>
          </w:tcPr>
          <w:p>
            <w:r>
              <w:t>obs mean G</w:t>
            </w:r>
          </w:p>
        </w:tc>
        <w:tc>
          <w:tcPr>
            <w:tcW w:type="dxa" w:w="1440"/>
          </w:tcPr>
          <w:p>
            <w:r>
              <w:t>null mean G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0.874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1.67</w:t>
            </w:r>
          </w:p>
        </w:tc>
      </w:tr>
      <w:tr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0.966</w:t>
            </w:r>
          </w:p>
        </w:tc>
        <w:tc>
          <w:tcPr>
            <w:tcW w:type="dxa" w:w="1440"/>
          </w:tcPr>
          <w:p>
            <w:r>
              <w:t>0.957</w:t>
            </w:r>
          </w:p>
        </w:tc>
        <w:tc>
          <w:tcPr>
            <w:tcW w:type="dxa" w:w="1440"/>
          </w:tcPr>
          <w:p>
            <w:r>
              <w:t>0.030</w:t>
            </w:r>
          </w:p>
        </w:tc>
        <w:tc>
          <w:tcPr>
            <w:tcW w:type="dxa" w:w="1440"/>
          </w:tcPr>
          <w:p>
            <w:r>
              <w:t>1.17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</w:tr>
      <w:tr>
        <w:tc>
          <w:tcPr>
            <w:tcW w:type="dxa" w:w="1440"/>
          </w:tcPr>
          <w:p>
            <w:r>
              <w:t>300</w:t>
            </w:r>
          </w:p>
        </w:tc>
        <w:tc>
          <w:tcPr>
            <w:tcW w:type="dxa" w:w="1440"/>
          </w:tcPr>
          <w:p>
            <w:r>
              <w:t>0.983</w:t>
            </w:r>
          </w:p>
        </w:tc>
        <w:tc>
          <w:tcPr>
            <w:tcW w:type="dxa" w:w="1440"/>
          </w:tcPr>
          <w:p>
            <w:r>
              <w:t>0.979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1.50</w:t>
            </w:r>
          </w:p>
        </w:tc>
        <w:tc>
          <w:tcPr>
            <w:tcW w:type="dxa" w:w="1440"/>
          </w:tcPr>
          <w:p>
            <w:r>
              <w:t>2.61</w:t>
            </w:r>
          </w:p>
        </w:tc>
      </w:tr>
      <w:tr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0.992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2.90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