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Editors,</w:t>
      </w:r>
    </w:p>
    <w:p>
      <w:r>
        <w:t>Urban-computational studies often optimize constructed spatial indices in settings where operational ground truth is unavailable. We submit 'Stress-testing public-data urban accessibility proxies: street-hail taxi relocation without fleet telemetry', which shows — using street-hail taxi relocation as a case study — that large apparent optimization gains can persist even when cross-specification transfer is weak and spatially permuted null surfaces generate comparable or larger gains.</w:t>
      </w:r>
    </w:p>
    <w:p>
      <w:r>
        <w:t>The methodological point will matter to CEUS readers: a heterogeneous constructed surface yields local maxima almost mechanically, so within-score optimization gains are not external validation. We propose a reusable internal stress test — component ablation, cross-specification transfer, and spatial permutation nulls — and report its outcome honestly, including the negative findings, on a directed road-network representation built entirely from public data and no proprietary fleet telemetry.</w:t>
      </w:r>
    </w:p>
    <w:p>
      <w:r>
        <w:t>The manuscript is original, involves no human subjects, uses only legally accessible public data, and is not under consideration elsewhere.</w:t>
      </w:r>
    </w:p>
    <w:p>
      <w:r>
        <w:t>Sincerely,</w:t>
        <w:br/>
        <w:t>The Authors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