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This manuscript addresses a methodological problem in urban spatial optimization: large gains obtained by optimizing a constructed proxy under its own definition need not indicate transferable or externally meaningful spatial structure. We submit 'Stress-testing public-data urban accessibility proxies: street-hail taxi relocation without fleet telemetry', which quantifies this issue in a street-hail case by comparing self-gain with cross-specification transfer, benchmarking against spatial permutation nulls, and deriving a practical internal stress-test framework.</w:t>
      </w:r>
    </w:p>
    <w:p>
      <w:r>
        <w:t>The methodological point will matter to CEUS readers: a heterogeneous constructed surface yields local maxima almost mechanically, so within-score optimization gains are not external validation. We propose a reusable internal stress test — component ablation, cross-specification transfer, and spatial permutation nulls — and report its outcome honestly, including the negative findings, on a directed road-network representation built entirely from public data and no proprietary fleet telemetry. The framework is also relevant to prospective urban-infrastructure planning where operational outcome labels do not yet exist.</w:t>
      </w:r>
    </w:p>
    <w:p>
      <w:r>
        <w:t>The manuscript is original, involves no human subjects, uses only legally accessible public data, and is not under consideration elsewhere.</w:t>
      </w:r>
    </w:p>
    <w:p>
      <w:r>
        <w:t>Sincerely,</w:t>
        <w:br/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