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Optimizing a constructed urban proxy under its own score inflates apparent gain</w:t>
      </w:r>
    </w:p>
    <w:p>
      <w:pPr>
        <w:pStyle w:val="ListBullet"/>
      </w:pPr>
      <w:r>
        <w:t>Street-hail relocation case audit on 27,887 directed road segments</w:t>
      </w:r>
    </w:p>
    <w:p>
      <w:pPr>
        <w:pStyle w:val="ListBullet"/>
      </w:pPr>
      <w:r>
        <w:t>Cross-specification transfer between distinct component families is weak</w:t>
      </w:r>
    </w:p>
    <w:p>
      <w:pPr>
        <w:pStyle w:val="ListBullet"/>
      </w:pPr>
      <w:r>
        <w:t>Permuted surfaces reproduce improvement prevalence and exceed gain magnitudes</w:t>
      </w:r>
    </w:p>
    <w:p>
      <w:pPr>
        <w:pStyle w:val="ListBullet"/>
      </w:pPr>
      <w:r>
        <w:t>Ablation + transfer + spatial null proposed as a standard stress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