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Stress-testing public-data urban accessibility proxies: street-hail taxi relocation without fleet telemetry</w:t>
      </w:r>
    </w:p>
    <w:p>
      <w:pPr>
        <w:pStyle w:val="Heading1"/>
      </w:pPr>
      <w:r>
        <w:t>Abstract</w:t>
      </w:r>
    </w:p>
    <w:p>
      <w:r>
        <w:t>Many urban-computing studies optimize constructed spatial proxies — accessibility indices, amenity scores, availability surfaces — where direct operational ground truth is unavailable. Because a heterogeneous surface contains local maxima, optimizing a proxy under its own score mechanically produces apparent gains, and self-optimization is not external validation. Using street-hail taxi relocation as a motivating case study, we construct four public-data-derived opportunity surfaces on the directed road network of Tokyo's five central wards (27,887 segments) and audit relocation optimization over 2,000 origins at 100-500 m walking radii through component ablation, cross-specification transfer, a simple road-hierarchy heuristic, and 500-permutation spatial nulls with origin-clustered inference. Apparent gains are large (98% of origins improved, mean 1.50 SD at 300 m) and exceed the nearest-major-road heuristic in 81% of origins, but cross-specification transfer between conceptually distinct component families is weak (53% and 44% of origins positive), and spatially permuted surfaces reproduced improvement prevalence almost fully, with only a small observed advantage at some walking radii (empirical p=0.02-0.09, below 0.05 only at 200 m), while producing larger mean gain magnitudes than the observed surface. Large within-score optimization gains therefore did not translate into equally strong cross-specification evidence and were partly reproducible under spatial nulls: self-optimization alone is insufficient validation of a constructed urban opportunity proxy. We present the resulting internal stress-test framework as a reusable robustness check for urban proxy studies.</w:t>
      </w:r>
    </w:p>
    <w:p>
      <w:r>
        <w:t>Keywords: urban accessibility; geocomputation; spatial optimization; mobility proxy; permutation test; public urban data</w:t>
      </w:r>
    </w:p>
    <w:p>
      <w:pPr>
        <w:pStyle w:val="Heading1"/>
      </w:pPr>
      <w:r>
        <w:t>1. Introduction</w:t>
      </w:r>
    </w:p>
    <w:p>
      <w:r>
        <w:t>Urban planning and mobility research increasingly relies on constructed spatial proxies — accessibility indices, amenity opportunity scores, pedestrian safety surfaces, micromobility availability proxies, EV-charging and service-location maps — because direct operational measurements are proprietary, expensive, or unavailable. These surfaces are then optimized: choose the best location, the highest-accessibility node, the highest-opportunity zone.</w:t>
      </w:r>
    </w:p>
    <w:p>
      <w:r>
        <w:t>A methodological problem follows. The same score defines both what 'better' means and which candidate is selected, so a large apparent gain can arise mechanically from score heterogeneity, candidate-set size, and order statistics rather than from meaningful urban structure. Studies often report the internal gain without testing whether the selected location transfers to an alternative plausible specification, whether the gain exceeds what a spatially permuted surface would yield, or whether a simple heuristic explains most of it.</w:t>
      </w:r>
    </w:p>
    <w:p>
      <w:r>
        <w:t>Street-hail taxi relocation is an ideal case study: the operational telemetry that could measure vacant-taxi opportunity is proprietary (systems like T-Finder [1] require fleet trajectories), the passenger decision is spatial, public-data proxies are tempting, and walking defines a natural local optimization problem [2]. Prior taxi-demand [3] and recommendation work [4,5] likewise presumes observed demand; pickup-point assignment in ride-sharing [6] assumes known trip requests.</w:t>
      </w:r>
    </w:p>
    <w:p>
      <w:r>
        <w:t>The contribution is methodological: a reusable internal stress-test framework for determining whether apparent gains from optimizing a public-data urban proxy represent transferable spatial structure or merely heterogeneity in the constructed surface — demonstrated, with frankly negative findings, on the street-hail case.</w:t>
      </w:r>
    </w:p>
    <w:p>
      <w:pPr>
        <w:pStyle w:val="Heading2"/>
      </w:pPr>
      <w:r>
        <w:t>1.1 Research questions</w:t>
      </w:r>
    </w:p>
    <w:p>
      <w:r>
        <w:t>RQ1: How large are apparent relocation gains under self-optimization? RQ2: Do gains persist across alternative component specifications? RQ3: Do locations selected under one specification improve another specification's score? RQ4: Do observed gains exceed those of spatially permuted surfaces with identical marginals? RQ5: How much of the gain does the nearest-major-road heuristic explain?</w:t>
      </w:r>
    </w:p>
    <w:p>
      <w:pPr>
        <w:pStyle w:val="Heading1"/>
      </w:pPr>
      <w:r>
        <w:t>2. Materials and Methods</w:t>
      </w:r>
    </w:p>
    <w:p>
      <w:pPr>
        <w:pStyle w:val="Heading2"/>
      </w:pPr>
      <w:r>
        <w:t>2.1 Study area and case-study rationale</w:t>
      </w:r>
    </w:p>
    <w:p>
      <w:r>
        <w:t>Five contiguous central wards of Tokyo (Chiyoda, Chuo, Minato, Shinjuku, Shibuya) — a canonical street-hail environment [7] where fleet telemetry is inaccessible.</w:t>
      </w:r>
    </w:p>
    <w:p>
      <w:pPr>
        <w:pStyle w:val="Heading2"/>
      </w:pPr>
      <w:r>
        <w:t>2.2 Public urban data</w:t>
      </w:r>
    </w:p>
    <w:p>
      <w:r>
        <w:t>OpenStreetMap road network and POIs via Overpass [8]; FY2023 railway-station locations (MLIT NLNI N02) [9]; hourly taxi-use distribution from the Tokyo Taxi Center monitor survey [10]. The restricted CSIS Pseudo-PFLOW product was inaccessible and substituted. The FY2023 N02 schema contains no passenger-count field, so the station term is an unweighted location kernel (documented correction).</w:t>
      </w:r>
    </w:p>
    <w:p>
      <w:pPr>
        <w:pStyle w:val="Heading2"/>
      </w:pPr>
      <w:r>
        <w:t>2.3 Directed road-network representation</w:t>
      </w:r>
    </w:p>
    <w:p>
      <w:r>
        <w:t>27,887 hail-feasible directed segments from the OSM drive graph; 182,538-edge walk graph for pedestrian distances (equirectangular metric).</w:t>
      </w:r>
    </w:p>
    <w:p>
      <w:pPr>
        <w:pStyle w:val="Heading2"/>
      </w:pPr>
      <w:r>
        <w:t>2.4 Alternative opportunity proxies</w:t>
      </w:r>
    </w:p>
    <w:p>
      <w:r>
        <w:t>A circulation-potential proxy combines road-class weight, a Gaussian attractor kernel field D(e) (sigma=300 m), and a period multiplier from the monitor profile blended toward nightlife contexts:</w:t>
      </w:r>
    </w:p>
    <w:p>
      <w:pPr>
        <w:jc w:val="center"/>
      </w:pPr>
      <m:oMath>
        <m:sSub>
          <m:e>
            <m:r>
              <m:t>P</m:t>
            </m:r>
          </m:e>
          <m:sub>
            <m:r>
              <m:t>circ</m:t>
            </m:r>
          </m:sub>
        </m:sSub>
        <m:r>
          <m:t>(e,t) = w_road(e)·(0.3 + D(e))·P(h;ctx(e))</m:t>
        </m:r>
      </m:oMath>
    </w:p>
    <w:p>
      <w:r>
        <w:t>Four z-standardized specifications: road-only (hierarchy, degree, lanes); attractor-only (station, nightlife, hotel/hospital, transit, taxi-stand kernels); the circulation proxy; and a combined score S_COMB = z(z log(1+P_circ) + 0.5 S_road + 0.4 C_ctx). All are modeled public-data proxies — none is observed taxi availability.</w:t>
      </w:r>
    </w:p>
    <w:p>
      <w:pPr>
        <w:pStyle w:val="Heading2"/>
      </w:pPr>
      <w:r>
        <w:t>2.5 Local pedestrian relocation optimization</w:t>
      </w:r>
    </w:p>
    <w:p>
      <w:r>
        <w:t>2,000 origins (seed 42); candidates are segments reachable within 100/200/300/500 m walking distance; the selected location maximizes the score over candidates.</w:t>
      </w:r>
    </w:p>
    <w:p>
      <w:pPr>
        <w:pStyle w:val="Heading2"/>
      </w:pPr>
      <w:r>
        <w:t>2.6 The self-optimization problem</w:t>
      </w:r>
    </w:p>
    <w:p>
      <w:r>
        <w:t>If S_A(x) is the opportunity score and x*_A = argmax over the neighborhood N(x0), then</w:t>
      </w:r>
    </w:p>
    <w:p>
      <w:pPr>
        <w:jc w:val="center"/>
      </w:pPr>
      <m:oMath>
        <m:sSub>
          <m:e>
            <m:r>
              <m:t>S</m:t>
            </m:r>
          </m:e>
          <m:sub>
            <m:r>
              <m:t>A</m:t>
            </m:r>
          </m:sub>
        </m:sSub>
        <m:r>
          <m:t>(x*</m:t>
        </m:r>
        <m:sSub>
          <m:e>
            <m:r>
              <m:t/>
            </m:r>
          </m:e>
          <m:sub>
            <m:r>
              <m:t>A</m:t>
            </m:r>
          </m:sub>
        </m:sSub>
        <m:r>
          <m:t>) − </m:t>
        </m:r>
        <m:sSub>
          <m:e>
            <m:r>
              <m:t>S</m:t>
            </m:r>
          </m:e>
          <m:sub>
            <m:r>
              <m:t>A</m:t>
            </m:r>
          </m:sub>
        </m:sSub>
        <m:r>
          <m:t>(x0) ≥ 0</m:t>
        </m:r>
      </m:oMath>
    </w:p>
    <w:p>
      <w:r>
        <w:t>holds by construction whenever a better-scoring candidate exists in N(x0). Positive self-gain is therefore partly structural and cannot alone validate the proxy — the central premise of this audit.</w:t>
      </w:r>
    </w:p>
    <w:p>
      <w:pPr>
        <w:pStyle w:val="Heading2"/>
      </w:pPr>
      <w:r>
        <w:t>2.7 Component ablation</w:t>
      </w:r>
    </w:p>
    <w:p>
      <w:r>
        <w:t>Each specification is optimized separately to test whether apparent gains depend on one construction.</w:t>
      </w:r>
    </w:p>
    <w:p>
      <w:pPr>
        <w:pStyle w:val="Heading2"/>
      </w:pPr>
      <w:r>
        <w:t>2.8 Cross-specification transfer</w:t>
      </w:r>
    </w:p>
    <w:p>
      <w:r>
        <w:t>Transfer gain TG(A→B) = S_B(x*_A) − S_B(x0) evaluates locations selected under specification A under a distinct specification B. Off-diagonal transfer — especially between the road-only and attractor-only component families — is the internal validity test; diagonal terms are self-optimization.</w:t>
      </w:r>
    </w:p>
    <w:p>
      <w:pPr>
        <w:pStyle w:val="Heading2"/>
      </w:pPr>
      <w:r>
        <w:t>2.9 Spatial permutation null</w:t>
      </w:r>
    </w:p>
    <w:p>
      <w:r>
        <w:t>Scores are permuted across all hail-feasible segments (500 repetitions), preserving the marginal distribution, network geometry, origin distribution, and candidate counts. Observed improvement fractions and gain magnitudes are compared against the null; empirical p = (1 + #{null ≥ obs})/(1 + N).</w:t>
      </w:r>
    </w:p>
    <w:p>
      <w:pPr>
        <w:pStyle w:val="Heading2"/>
      </w:pPr>
      <w:r>
        <w:t>2.10 Constrained permutation sensitivity</w:t>
      </w:r>
    </w:p>
    <w:p>
      <w:r>
        <w:t>A within-ward permutation preserves coarse geographic structure and tests whether fine-scale organization remains non-random.</w:t>
      </w:r>
    </w:p>
    <w:p>
      <w:pPr>
        <w:pStyle w:val="Heading2"/>
      </w:pPr>
      <w:r>
        <w:t>2.11 Heuristic comparators</w:t>
      </w:r>
    </w:p>
    <w:p>
      <w:r>
        <w:t>Stay; random relocation (10 seeded draws); nearest major-class road.</w:t>
      </w:r>
    </w:p>
    <w:p>
      <w:pPr>
        <w:pStyle w:val="Heading2"/>
      </w:pPr>
      <w:r>
        <w:t>2.12 Cluster-aware statistical inference</w:t>
      </w:r>
    </w:p>
    <w:p>
      <w:r>
        <w:t>Origin-period rows are repeated measurements. Period-invariant specifications use unique origins (n = 1,961-1,999); period-varying specifications use an origin-clustered bootstrap (5,000 replicates) and paired tests on origin-mean differences. Effects, CIs, and p-values are reported together.</w:t>
      </w:r>
    </w:p>
    <w:p>
      <w:pPr>
        <w:pStyle w:val="Heading2"/>
      </w:pPr>
      <w:r>
        <w:t>2.13 Reproducibility</w:t>
      </w:r>
    </w:p>
    <w:p>
      <w:r>
        <w:t>Fixed seeds, raw-data snapshots with a SHA-256 ledger, code and machine-readable tables provided.</w:t>
      </w:r>
    </w:p>
    <w:p>
      <w:pPr>
        <w:pStyle w:val="Heading1"/>
      </w:pPr>
      <w:r>
        <w:t>3. Results</w:t>
      </w:r>
    </w:p>
    <w:p>
      <w:pPr>
        <w:pStyle w:val="Heading2"/>
      </w:pPr>
      <w:r>
        <w:t>3.1 Opportunity surfaces and local heterogeneity</w:t>
      </w:r>
    </w:p>
    <w:p>
      <w:r>
        <w:t>All four surfaces are strongly heterogeneous, with ridges along arterials and station fronts (Figure 2).</w:t>
      </w:r>
    </w:p>
    <w:p>
      <w:r>
        <w:drawing>
          <wp:inline xmlns:a="http://schemas.openxmlformats.org/drawingml/2006/main" xmlns:pic="http://schemas.openxmlformats.org/drawingml/2006/picture">
            <wp:extent cx="5486400" cy="2420666"/>
            <wp:docPr id="1" name="Picture 1"/>
            <wp:cNvGraphicFramePr>
              <a:graphicFrameLocks noChangeAspect="1"/>
            </wp:cNvGraphicFramePr>
            <a:graphic>
              <a:graphicData uri="http://schemas.openxmlformats.org/drawingml/2006/picture">
                <pic:pic>
                  <pic:nvPicPr>
                    <pic:cNvPr id="0" name="fig2_map.png"/>
                    <pic:cNvPicPr/>
                  </pic:nvPicPr>
                  <pic:blipFill>
                    <a:blip r:embed="rId9"/>
                    <a:stretch>
                      <a:fillRect/>
                    </a:stretch>
                  </pic:blipFill>
                  <pic:spPr>
                    <a:xfrm>
                      <a:off x="0" y="0"/>
                      <a:ext cx="5486400" cy="2420666"/>
                    </a:xfrm>
                    <a:prstGeom prst="rect"/>
                  </pic:spPr>
                </pic:pic>
              </a:graphicData>
            </a:graphic>
          </wp:inline>
        </w:drawing>
      </w:r>
    </w:p>
    <w:p>
      <w:pPr>
        <w:jc w:val="center"/>
      </w:pPr>
      <w:r>
        <w:rPr>
          <w:i/>
        </w:rPr>
        <w:t>Figure 2. Modeled street-hail opportunity surface (combined specification, SD units), weekday 17:00 and weekend 23:00.</w:t>
      </w:r>
    </w:p>
    <w:p>
      <w:pPr>
        <w:pStyle w:val="Heading2"/>
      </w:pPr>
      <w:r>
        <w:t>3.2 Apparent gains under self-optimization</w:t>
      </w:r>
    </w:p>
    <w:p>
      <w:r>
        <w:t>Self-optimization produces large apparent gains (RQ1): 84%-100% of origins have a higher-scoring segment within reach, mean gain 0.69-1.93 SD (Figure 4). These gains are partly structural by construction.</w:t>
      </w:r>
    </w:p>
    <w:p>
      <w:r>
        <w:drawing>
          <wp:inline xmlns:a="http://schemas.openxmlformats.org/drawingml/2006/main" xmlns:pic="http://schemas.openxmlformats.org/drawingml/2006/picture">
            <wp:extent cx="5486400" cy="3585834"/>
            <wp:docPr id="2" name="Picture 2"/>
            <wp:cNvGraphicFramePr>
              <a:graphicFrameLocks noChangeAspect="1"/>
            </wp:cNvGraphicFramePr>
            <a:graphic>
              <a:graphicData uri="http://schemas.openxmlformats.org/drawingml/2006/picture">
                <pic:pic>
                  <pic:nvPicPr>
                    <pic:cNvPr id="0" name="fig4_gain_by_radius.png"/>
                    <pic:cNvPicPr/>
                  </pic:nvPicPr>
                  <pic:blipFill>
                    <a:blip r:embed="rId10"/>
                    <a:stretch>
                      <a:fillRect/>
                    </a:stretch>
                  </pic:blipFill>
                  <pic:spPr>
                    <a:xfrm>
                      <a:off x="0" y="0"/>
                      <a:ext cx="5486400" cy="3585834"/>
                    </a:xfrm>
                    <a:prstGeom prst="rect"/>
                  </pic:spPr>
                </pic:pic>
              </a:graphicData>
            </a:graphic>
          </wp:inline>
        </w:drawing>
      </w:r>
    </w:p>
    <w:p>
      <w:pPr>
        <w:jc w:val="center"/>
      </w:pPr>
      <w:r>
        <w:rPr>
          <w:i/>
        </w:rPr>
        <w:t>Figure 4. Apparent self-optimization gains (SD units) by walking radius, combined specification.</w:t>
      </w:r>
    </w:p>
    <w:p>
      <w:pPr>
        <w:pStyle w:val="Heading2"/>
      </w:pPr>
      <w:r>
        <w:t>3.3 Comparison with simple heuristics</w:t>
      </w:r>
    </w:p>
    <w:p>
      <w:r>
        <w:t>Against heuristics (RQ5): the combined optimum beats random relocation in ~100% of origins and the nearest major road in 81% at 300 m (paired surplus 0.22 SD, clustered 95% CI [0.21117390645170625, 0.2349538476276946], Wilcoxon p&lt;0.001). This shows the constructed score contains spatial information beyond road hierarchy alone — it does not show the selected location is better for obtaining a real taxi (Figure 5).</w:t>
      </w:r>
    </w:p>
    <w:p>
      <w:r>
        <w:drawing>
          <wp:inline xmlns:a="http://schemas.openxmlformats.org/drawingml/2006/main" xmlns:pic="http://schemas.openxmlformats.org/drawingml/2006/picture">
            <wp:extent cx="5486400" cy="3597182"/>
            <wp:docPr id="3" name="Picture 3"/>
            <wp:cNvGraphicFramePr>
              <a:graphicFrameLocks noChangeAspect="1"/>
            </wp:cNvGraphicFramePr>
            <a:graphic>
              <a:graphicData uri="http://schemas.openxmlformats.org/drawingml/2006/picture">
                <pic:pic>
                  <pic:nvPicPr>
                    <pic:cNvPr id="0" name="fig5_strategies.png"/>
                    <pic:cNvPicPr/>
                  </pic:nvPicPr>
                  <pic:blipFill>
                    <a:blip r:embed="rId11"/>
                    <a:stretch>
                      <a:fillRect/>
                    </a:stretch>
                  </pic:blipFill>
                  <pic:spPr>
                    <a:xfrm>
                      <a:off x="0" y="0"/>
                      <a:ext cx="5486400" cy="3597182"/>
                    </a:xfrm>
                    <a:prstGeom prst="rect"/>
                  </pic:spPr>
                </pic:pic>
              </a:graphicData>
            </a:graphic>
          </wp:inline>
        </w:drawing>
      </w:r>
    </w:p>
    <w:p>
      <w:pPr>
        <w:jc w:val="center"/>
      </w:pPr>
      <w:r>
        <w:rPr>
          <w:i/>
        </w:rPr>
        <w:t>Figure 5. Mean modeled score by strategy (combined specification, radii pooled). Error bars = SEM.</w:t>
      </w:r>
    </w:p>
    <w:p>
      <w:pPr>
        <w:pStyle w:val="Heading2"/>
      </w:pPr>
      <w:r>
        <w:t>3.4 Component ablation</w:t>
      </w:r>
    </w:p>
    <w:p>
      <w:r>
        <w:t>Apparent gains persist under every construction (RQ2): at 300 m, road-only 95%, attractor-only 99%, proxy 98%, combined 98% improved (Figure 7). Segment rankings agree only moderately to strongly (Spearman 0.52-0.93): the constructions are alternative readings with varying degrees of agreement, and persistence is not proof of external validity.</w:t>
      </w:r>
    </w:p>
    <w:p>
      <w:r>
        <w:drawing>
          <wp:inline xmlns:a="http://schemas.openxmlformats.org/drawingml/2006/main" xmlns:pic="http://schemas.openxmlformats.org/drawingml/2006/picture">
            <wp:extent cx="5486400" cy="1688123"/>
            <wp:docPr id="4" name="Picture 4"/>
            <wp:cNvGraphicFramePr>
              <a:graphicFrameLocks noChangeAspect="1"/>
            </wp:cNvGraphicFramePr>
            <a:graphic>
              <a:graphicData uri="http://schemas.openxmlformats.org/drawingml/2006/picture">
                <pic:pic>
                  <pic:nvPicPr>
                    <pic:cNvPr id="0" name="fig7_ablation.png"/>
                    <pic:cNvPicPr/>
                  </pic:nvPicPr>
                  <pic:blipFill>
                    <a:blip r:embed="rId12"/>
                    <a:stretch>
                      <a:fillRect/>
                    </a:stretch>
                  </pic:blipFill>
                  <pic:spPr>
                    <a:xfrm>
                      <a:off x="0" y="0"/>
                      <a:ext cx="5486400" cy="1688123"/>
                    </a:xfrm>
                    <a:prstGeom prst="rect"/>
                  </pic:spPr>
                </pic:pic>
              </a:graphicData>
            </a:graphic>
          </wp:inline>
        </w:drawing>
      </w:r>
    </w:p>
    <w:p>
      <w:pPr>
        <w:jc w:val="center"/>
      </w:pPr>
      <w:r>
        <w:rPr>
          <w:i/>
        </w:rPr>
        <w:t>Figure 7. Component ablation across walking radii.</w:t>
      </w:r>
    </w:p>
    <w:p>
      <w:pPr>
        <w:pStyle w:val="Heading2"/>
      </w:pPr>
      <w:r>
        <w:t>3.5 Cross-specification transfer</w:t>
      </w:r>
    </w:p>
    <w:p>
      <w:r>
        <w:t>Transfer between conceptually distinct component families is weak (RQ3): road-selected locations improve the attractor score for 53% of origins (mean 0.04 SD) and attractor-selected locations improve the road score for 43% (0.08 SD) — near-chance fractions. Transfer into the proxy is stronger (attr→proxy 69%; road→proxy 90%) because the proxy embeds road hierarchy (Figure 8, Table 4). Weak off-diagonal transfer is itself a key finding: the constructions partly identify different, non-transferable structure.</w:t>
      </w:r>
    </w:p>
    <w:p>
      <w:r>
        <w:drawing>
          <wp:inline xmlns:a="http://schemas.openxmlformats.org/drawingml/2006/main" xmlns:pic="http://schemas.openxmlformats.org/drawingml/2006/picture">
            <wp:extent cx="5486400" cy="2094807"/>
            <wp:docPr id="5" name="Picture 5"/>
            <wp:cNvGraphicFramePr>
              <a:graphicFrameLocks noChangeAspect="1"/>
            </wp:cNvGraphicFramePr>
            <a:graphic>
              <a:graphicData uri="http://schemas.openxmlformats.org/drawingml/2006/picture">
                <pic:pic>
                  <pic:nvPicPr>
                    <pic:cNvPr id="0" name="fig8_transfer_matrix.png"/>
                    <pic:cNvPicPr/>
                  </pic:nvPicPr>
                  <pic:blipFill>
                    <a:blip r:embed="rId13"/>
                    <a:stretch>
                      <a:fillRect/>
                    </a:stretch>
                  </pic:blipFill>
                  <pic:spPr>
                    <a:xfrm>
                      <a:off x="0" y="0"/>
                      <a:ext cx="5486400" cy="2094807"/>
                    </a:xfrm>
                    <a:prstGeom prst="rect"/>
                  </pic:spPr>
                </pic:pic>
              </a:graphicData>
            </a:graphic>
          </wp:inline>
        </w:drawing>
      </w:r>
    </w:p>
    <w:p>
      <w:pPr>
        <w:jc w:val="center"/>
      </w:pPr>
      <w:r>
        <w:rPr>
          <w:i/>
        </w:rPr>
        <w:t>Figure 8. Transfer matrix at 300 m. Diagonal would be self-optimization; off-diagonal entries are internal transfer evidence.</w:t>
      </w:r>
    </w:p>
    <w:p>
      <w:pPr>
        <w:pStyle w:val="Heading2"/>
      </w:pPr>
      <w:r>
        <w:t>3.6 Spatial permutation null</w:t>
      </w:r>
    </w:p>
    <w:p>
      <w:r>
        <w:t>Against the unrestricted null (RQ4): improvement prevalence marginally exceeds permutation at 200-500 m (observed 0.983 vs null 0.979 at 300 m; empirical p=0.02-0.09) but not at 100 m (p=1.0). Mean gain magnitude does not exceed the null at any radius (observed 1.50 vs null 2.61 SD at 300 m; Figure 9, Table 5). A spatially unstructured surface with identical marginals produces larger local contrasts: most of the apparent gain is generic maximum-selection, while the observed surface's spatial autocorrelation actually compresses local maxima.</w:t>
      </w:r>
    </w:p>
    <w:p>
      <w:r>
        <w:drawing>
          <wp:inline xmlns:a="http://schemas.openxmlformats.org/drawingml/2006/main" xmlns:pic="http://schemas.openxmlformats.org/drawingml/2006/picture">
            <wp:extent cx="5486400" cy="1995055"/>
            <wp:docPr id="6" name="Picture 6"/>
            <wp:cNvGraphicFramePr>
              <a:graphicFrameLocks noChangeAspect="1"/>
            </wp:cNvGraphicFramePr>
            <a:graphic>
              <a:graphicData uri="http://schemas.openxmlformats.org/drawingml/2006/picture">
                <pic:pic>
                  <pic:nvPicPr>
                    <pic:cNvPr id="0" name="fig9_permutation_null.png"/>
                    <pic:cNvPicPr/>
                  </pic:nvPicPr>
                  <pic:blipFill>
                    <a:blip r:embed="rId14"/>
                    <a:stretch>
                      <a:fillRect/>
                    </a:stretch>
                  </pic:blipFill>
                  <pic:spPr>
                    <a:xfrm>
                      <a:off x="0" y="0"/>
                      <a:ext cx="5486400" cy="1995055"/>
                    </a:xfrm>
                    <a:prstGeom prst="rect"/>
                  </pic:spPr>
                </pic:pic>
              </a:graphicData>
            </a:graphic>
          </wp:inline>
        </w:drawing>
      </w:r>
    </w:p>
    <w:p>
      <w:pPr>
        <w:jc w:val="center"/>
      </w:pPr>
      <w:r>
        <w:rPr>
          <w:i/>
        </w:rPr>
        <w:t>Figure 9. Observed statistics (red) vs 500-permutation null (gray), 300 m, weekday 17:00.</w:t>
      </w:r>
    </w:p>
    <w:p>
      <w:pPr>
        <w:pStyle w:val="Heading2"/>
      </w:pPr>
      <w:r>
        <w:t>3.7 Constrained-null sensitivity</w:t>
      </w:r>
    </w:p>
    <w:p>
      <w:r>
        <w:t>The within-ward null reproduces the same pattern (marginal prevalence advantage at 200-500 m; lower observed magnitude), so coarse district structure does not rescue the gain-magnitude claim.</w:t>
      </w:r>
    </w:p>
    <w:p>
      <w:pPr>
        <w:pStyle w:val="Heading2"/>
      </w:pPr>
      <w:r>
        <w:t>3.8 Temporal and district secondary analyses</w:t>
      </w:r>
    </w:p>
    <w:p>
      <w:r>
        <w:t>Under the modeled temporal specifications, gains are largest in the weekday-morning period; the weekend specification shifts modeled opportunity toward nightlife contexts — input-profile consequences (Figure 6). Kernel bandwidth 150/500 m leaves gains nearly unchanged (rho 0.98/0.99).</w:t>
      </w:r>
    </w:p>
    <w:p>
      <w:r>
        <w:drawing>
          <wp:inline xmlns:a="http://schemas.openxmlformats.org/drawingml/2006/main" xmlns:pic="http://schemas.openxmlformats.org/drawingml/2006/picture">
            <wp:extent cx="5486400" cy="2653779"/>
            <wp:docPr id="7" name="Picture 7"/>
            <wp:cNvGraphicFramePr>
              <a:graphicFrameLocks noChangeAspect="1"/>
            </wp:cNvGraphicFramePr>
            <a:graphic>
              <a:graphicData uri="http://schemas.openxmlformats.org/drawingml/2006/picture">
                <pic:pic>
                  <pic:nvPicPr>
                    <pic:cNvPr id="0" name="fig6_heterogeneity.png"/>
                    <pic:cNvPicPr/>
                  </pic:nvPicPr>
                  <pic:blipFill>
                    <a:blip r:embed="rId15"/>
                    <a:stretch>
                      <a:fillRect/>
                    </a:stretch>
                  </pic:blipFill>
                  <pic:spPr>
                    <a:xfrm>
                      <a:off x="0" y="0"/>
                      <a:ext cx="5486400" cy="2653779"/>
                    </a:xfrm>
                    <a:prstGeom prst="rect"/>
                  </pic:spPr>
                </pic:pic>
              </a:graphicData>
            </a:graphic>
          </wp:inline>
        </w:drawing>
      </w:r>
    </w:p>
    <w:p>
      <w:pPr>
        <w:jc w:val="center"/>
      </w:pPr>
      <w:r>
        <w:rPr>
          <w:i/>
        </w:rPr>
        <w:t>Figure 6. Modeled gain by hour/day-type and ward/radius — model behavior, not observed patterns.</w:t>
      </w:r>
    </w:p>
    <w:p>
      <w:pPr>
        <w:pStyle w:val="Heading2"/>
      </w:pPr>
      <w:r>
        <w:t>3.9 Summary of evidence levels</w:t>
      </w:r>
    </w:p>
    <w:p>
      <w:r>
        <w:t>Level 1 (self-optimization): large apparent gains — achieved. Level 2 (internal stress tests): ablation passed; transfer weak; heuristic contrast retained; permutation shows prevalence marginally above but magnitude below null. Level 3 (external empirical validation): not available in this study.</w:t>
      </w:r>
    </w:p>
    <w:p>
      <w:r>
        <w:drawing>
          <wp:inline xmlns:a="http://schemas.openxmlformats.org/drawingml/2006/main" xmlns:pic="http://schemas.openxmlformats.org/drawingml/2006/picture">
            <wp:extent cx="5486400" cy="1708484"/>
            <wp:docPr id="8" name="Picture 8"/>
            <wp:cNvGraphicFramePr>
              <a:graphicFrameLocks noChangeAspect="1"/>
            </wp:cNvGraphicFramePr>
            <a:graphic>
              <a:graphicData uri="http://schemas.openxmlformats.org/drawingml/2006/picture">
                <pic:pic>
                  <pic:nvPicPr>
                    <pic:cNvPr id="0" name="fig1_framework.png"/>
                    <pic:cNvPicPr/>
                  </pic:nvPicPr>
                  <pic:blipFill>
                    <a:blip r:embed="rId16"/>
                    <a:stretch>
                      <a:fillRect/>
                    </a:stretch>
                  </pic:blipFill>
                  <pic:spPr>
                    <a:xfrm>
                      <a:off x="0" y="0"/>
                      <a:ext cx="5486400" cy="1708484"/>
                    </a:xfrm>
                    <a:prstGeom prst="rect"/>
                  </pic:spPr>
                </pic:pic>
              </a:graphicData>
            </a:graphic>
          </wp:inline>
        </w:drawing>
      </w:r>
    </w:p>
    <w:p>
      <w:pPr>
        <w:jc w:val="center"/>
      </w:pPr>
      <w:r>
        <w:rPr>
          <w:i/>
        </w:rPr>
        <w:t>Figure 1. Stress-test workflow: proxy construction, self-optimization, transfer test, spatial null test.</w:t>
      </w:r>
    </w:p>
    <w:p>
      <w:r>
        <w:drawing>
          <wp:inline xmlns:a="http://schemas.openxmlformats.org/drawingml/2006/main" xmlns:pic="http://schemas.openxmlformats.org/drawingml/2006/picture">
            <wp:extent cx="5486400" cy="6901620"/>
            <wp:docPr id="9" name="Picture 9"/>
            <wp:cNvGraphicFramePr>
              <a:graphicFrameLocks noChangeAspect="1"/>
            </wp:cNvGraphicFramePr>
            <a:graphic>
              <a:graphicData uri="http://schemas.openxmlformats.org/drawingml/2006/picture">
                <pic:pic>
                  <pic:nvPicPr>
                    <pic:cNvPr id="0" name="fig3_worked_example.png"/>
                    <pic:cNvPicPr/>
                  </pic:nvPicPr>
                  <pic:blipFill>
                    <a:blip r:embed="rId17"/>
                    <a:stretch>
                      <a:fillRect/>
                    </a:stretch>
                  </pic:blipFill>
                  <pic:spPr>
                    <a:xfrm>
                      <a:off x="0" y="0"/>
                      <a:ext cx="5486400" cy="6901620"/>
                    </a:xfrm>
                    <a:prstGeom prst="rect"/>
                  </pic:spPr>
                </pic:pic>
              </a:graphicData>
            </a:graphic>
          </wp:inline>
        </w:drawing>
      </w:r>
    </w:p>
    <w:p>
      <w:pPr>
        <w:jc w:val="center"/>
      </w:pPr>
      <w:r>
        <w:rPr>
          <w:i/>
        </w:rPr>
        <w:t>Figure 3. Local optimization example (200 m, weekday 17:00): apparent gain under the combined score.</w:t>
      </w:r>
    </w:p>
    <w:p>
      <w:pPr>
        <w:pStyle w:val="Heading1"/>
      </w:pPr>
      <w:r>
        <w:t>4. Discussion</w:t>
      </w:r>
    </w:p>
    <w:p>
      <w:pPr>
        <w:pStyle w:val="Heading2"/>
      </w:pPr>
      <w:r>
        <w:t>4.1 Large apparent gains do not establish proxy validity</w:t>
      </w:r>
    </w:p>
    <w:p>
      <w:r>
        <w:t>The self-optimization inequality is structural: with ~hundreds of reachable candidates, a local maximum almost surely exceeds the origin. The practical lesson is not that gains exist — it is that their size carries almost no validating information.</w:t>
      </w:r>
    </w:p>
    <w:p>
      <w:pPr>
        <w:pStyle w:val="Heading2"/>
      </w:pPr>
      <w:r>
        <w:t>4.2 Cross-specification transfer reveals limited robustness</w:t>
      </w:r>
    </w:p>
    <w:p>
      <w:r>
        <w:t>Positive but near-chance transfer between road-only and attractor-only selections means the two component families partly identify different places: an improvement under one plausible public-data reading of 'opportunity' is roughly a coin flip under the other. Any deployed proxy would inherit this specification dependence.</w:t>
      </w:r>
    </w:p>
    <w:p>
      <w:pPr>
        <w:pStyle w:val="Heading2"/>
      </w:pPr>
      <w:r>
        <w:t>4.3 Spatial permutation shows the role of generic heterogeneity</w:t>
      </w:r>
    </w:p>
    <w:p>
      <w:r>
        <w:t>The decisive result: a shuffled surface reproduces ~98% of the improvement prevalence and produced larger mean gain magnitudes across the examined radii. What the real urban surface contributes is a marginal reliability edge — not bigger wins. Interpreted honestly, this means the constructed proxy's fine-scale spatial arrangement adds little beyond generic heterogeneity for relocation purposes.</w:t>
      </w:r>
    </w:p>
    <w:p>
      <w:pPr>
        <w:pStyle w:val="Heading2"/>
      </w:pPr>
      <w:r>
        <w:t>4.4 What the nearest-major-road comparison does and does not show</w:t>
      </w:r>
    </w:p>
    <w:p>
      <w:r>
        <w:t>The combined optimum's surplus over the nearest major road shows the score encodes information beyond hierarchy — a real, if narrow, computational finding. It says nothing about real taxi encounters.</w:t>
      </w:r>
    </w:p>
    <w:p>
      <w:pPr>
        <w:pStyle w:val="Heading2"/>
      </w:pPr>
      <w:r>
        <w:t>4.5 Implications for urban accessibility and mobility proxy research</w:t>
      </w:r>
    </w:p>
    <w:p>
      <w:r>
        <w:t>Before interpreting optimized score gains as meaningful, urban-computational studies should run at least three practical internal stress tests: (1) component ablation — does the result depend on one construction; (2) cross-specification transfer — does a selected location improve a distinct plausible measure; (3) a spatial null — would comparable gains arise from spatially rearranged values. These are necessary, not sufficient, checks.</w:t>
      </w:r>
    </w:p>
    <w:p>
      <w:pPr>
        <w:pStyle w:val="Heading2"/>
      </w:pPr>
      <w:r>
        <w:t>4.6 Implications for prospective infrastructure siting</w:t>
      </w:r>
    </w:p>
    <w:p>
      <w:r>
        <w:t>The problem examined here extends beyond mobility settings in which operational data are proprietary. Similar inferential constraints arise when infrastructure is prospective and historical outcome labels do not yet exist — for example, early-stage hydrogen-refueling or emerging charging-network siting. Planners may then optimize constructed demand or accessibility proxies with no observations of realized use. Our results caution that large within-proxy optimization gains should not by themselves be interpreted as evidence of meaningful siting advantage; ablation, transfer, spatial-null comparison, and simple heuristic benchmarks provide practical internal stress tests until external validation becomes possible.</w:t>
      </w:r>
    </w:p>
    <w:p>
      <w:pPr>
        <w:pStyle w:val="Heading2"/>
      </w:pPr>
      <w:r>
        <w:t>4.7 Street-hail taxis as motivating case</w:t>
      </w:r>
    </w:p>
    <w:p>
      <w:r>
        <w:t>The paper is not an operational validation of a taxi recommendation system. The street-hail case was chosen because it makes the proxy-optimization problem concrete: no ground truth, a spatial passenger decision, and tempting public data. Low-friction street-hail information could also matter for visitors unfamiliar with local hailing conventions — a motivation, not a tested claim.</w:t>
      </w:r>
    </w:p>
    <w:p>
      <w:pPr>
        <w:pStyle w:val="Heading2"/>
      </w:pPr>
      <w:r>
        <w:t>4.8 Limitations</w:t>
      </w:r>
    </w:p>
    <w:p>
      <w:r>
        <w:t>No observed vacant-taxi ground truth; scores are uncalibrated public-data proxies; temporal structure is partly assumed; Tokyo specificity; roadside hail feasibility imperfectly represented; station term is unweighted (FY2023 N02 lacks passenger counts); transfer and null tests are internal checks, not empirical validation.</w:t>
      </w:r>
    </w:p>
    <w:p>
      <w:pPr>
        <w:pStyle w:val="Heading2"/>
      </w:pPr>
      <w:r>
        <w:t>4.9 Requirements for external empirical validation</w:t>
      </w:r>
    </w:p>
    <w:p>
      <w:r>
        <w:t>Before any operational interpretation, external evidence would require observed vacant-taxi passage, actual waiting times, or prospective passenger outcomes.</w:t>
      </w:r>
    </w:p>
    <w:p>
      <w:pPr>
        <w:pStyle w:val="Heading1"/>
      </w:pPr>
      <w:r>
        <w:t>5. Conclusion</w:t>
      </w:r>
    </w:p>
    <w:p>
      <w:r>
        <w:t>Large within-score optimization gains did not translate into equally strong cross-specification evidence and were partly reproducible under spatially permuted null surfaces. Self-optimization alone is insufficient validation of a constructed urban opportunity proxy; ablation, transfer, and spatial-null tests form a minimal internal stress-test framework for such studies. The same caution applies to prospective urban-infrastructure siting in which historical outcome labels do not yet exist: optimization of a constructed proxy should be stress-tested against alternative specifications and spatial nulls before being interpreted as evidence of real-world advantage.</w:t>
      </w:r>
    </w:p>
    <w:p>
      <w:pPr>
        <w:pStyle w:val="Heading1"/>
      </w:pPr>
      <w:r>
        <w:t>Declarations</w:t>
      </w:r>
    </w:p>
    <w:p>
      <w:r>
        <w:t>Data availability: all inputs are public datasets (Table 1); code and derived tables in the project repository. Competing interests: none declared. Funding: none.</w:t>
      </w:r>
    </w:p>
    <w:p>
      <w:pPr>
        <w:pStyle w:val="Heading1"/>
      </w:pPr>
      <w:r>
        <w:t>References</w:t>
      </w:r>
    </w:p>
    <w:p>
      <w:r>
        <w:rPr>
          <w:b/>
        </w:rPr>
        <w:t xml:space="preserve">1. </w:t>
      </w:r>
      <w:r>
        <w:t>Yuan NJ, Zheng Y, Zhang L, Xie X. T-Finder: a recommender system for finding passengers and vacant taxis. IEEE Trans Knowl Data Eng. 2013;25(10):2390-2403. doi:10.1109/TKDE.2012.153.</w:t>
      </w:r>
    </w:p>
    <w:p>
      <w:r>
        <w:rPr>
          <w:b/>
        </w:rPr>
        <w:t xml:space="preserve">2. </w:t>
      </w:r>
      <w:r>
        <w:t>Yang H, Leung CWY, Wong SC, Bell MGH. Equilibria of bilateral taxi-customer searching and meeting on networks. Transp Res Part B. 2010;44(8-9):1067-1083.</w:t>
      </w:r>
    </w:p>
    <w:p>
      <w:r>
        <w:rPr>
          <w:b/>
        </w:rPr>
        <w:t xml:space="preserve">3. </w:t>
      </w:r>
      <w:r>
        <w:t>Moreira-Matias L, Gama J, Ferreira M, Mendes-Moreira J, Damas L. Predicting taxi-passenger demand using streaming data. IEEE Trans Intell Transp Syst. 2013;14(3):1393-1402.</w:t>
      </w:r>
    </w:p>
    <w:p>
      <w:r>
        <w:rPr>
          <w:b/>
        </w:rPr>
        <w:t xml:space="preserve">4. </w:t>
      </w:r>
      <w:r>
        <w:t>Hwang RH, Hsueh YL, Chen YT. An effective taxi recommender system based on a spatio-temporal factor analysis model. Inf Sci. 2015;314:28-40.</w:t>
      </w:r>
    </w:p>
    <w:p>
      <w:r>
        <w:rPr>
          <w:b/>
        </w:rPr>
        <w:t xml:space="preserve">5. </w:t>
      </w:r>
      <w:r>
        <w:t>Ocalir EV, Ercoskun OY, Tur R. An integrated model of GIS and fuzzy logic (FMOTS) for location decisions of taxicab stands. Expert Syst Appl. 2010;37(7):4892-4901.</w:t>
      </w:r>
    </w:p>
    <w:p>
      <w:r>
        <w:rPr>
          <w:b/>
        </w:rPr>
        <w:t xml:space="preserve">6. </w:t>
      </w:r>
      <w:r>
        <w:t>Alonso-Mora J, Samaranayake S, Wallar A, Frazzoli E, Rus D. On-demand high-capacity ride-sharing via dynamic trip-vehicle assignment. Proc Natl Acad Sci USA. 2017;114(3):462-467. doi:10.1073/pnas.1611675114.</w:t>
      </w:r>
    </w:p>
    <w:p>
      <w:r>
        <w:rPr>
          <w:b/>
        </w:rPr>
        <w:t xml:space="preserve">7. </w:t>
      </w:r>
      <w:r>
        <w:t>Tokyo Hire-Taxi Association. Tokyo no Taxi 2025. https://taxi-tokyo.or.jp/ (accessed 2026-09-29).</w:t>
      </w:r>
    </w:p>
    <w:p>
      <w:r>
        <w:rPr>
          <w:b/>
        </w:rPr>
        <w:t xml:space="preserve">8. </w:t>
      </w:r>
      <w:r>
        <w:t>OpenStreetMap contributors. Planet dump and Overpass API. https://www.openstreetmap.org (ODbL; accessed 2026-09-29 via OSMnx 2.0.7).</w:t>
      </w:r>
    </w:p>
    <w:p>
      <w:r>
        <w:rPr>
          <w:b/>
        </w:rPr>
        <w:t xml:space="preserve">9. </w:t>
      </w:r>
      <w:r>
        <w:t>Ministry of Land, Infrastructure, Transport and Tourism (Japan). National Land Numerical Information, N02 railway dataset (FY2023). https://nlftp.mlit.go.jp/ksj/ (accessed 2026-09-29).</w:t>
      </w:r>
    </w:p>
    <w:p>
      <w:r>
        <w:rPr>
          <w:b/>
        </w:rPr>
        <w:t xml:space="preserve">10. </w:t>
      </w:r>
      <w:r>
        <w:t>Tokyo Taxi Center. Taxi user monitor survey, FY2023 tabulation report. https://www.tokyo-tc.or.jp/center/uploads/monitor_2024.pdf (accessed 2026-09-29).</w:t>
      </w:r>
    </w:p>
    <w:p>
      <w:pPr>
        <w:pStyle w:val="Heading1"/>
      </w:pPr>
      <w:r>
        <w:t>Table 1. Public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Provider/License</w:t>
            </w:r>
          </w:p>
        </w:tc>
        <w:tc>
          <w:tcPr>
            <w:tcW w:type="dxa" w:w="2160"/>
          </w:tcPr>
          <w:p>
            <w:r>
              <w:t>Scope</w:t>
            </w:r>
          </w:p>
        </w:tc>
        <w:tc>
          <w:tcPr>
            <w:tcW w:type="dxa" w:w="2160"/>
          </w:tcPr>
          <w:p>
            <w:r>
              <w:t>Role</w:t>
            </w:r>
          </w:p>
        </w:tc>
      </w:tr>
      <w:tr>
        <w:tc>
          <w:tcPr>
            <w:tcW w:type="dxa" w:w="2160"/>
          </w:tcPr>
          <w:p>
            <w:r>
              <w:t>OSM road network + POIs</w:t>
            </w:r>
          </w:p>
        </w:tc>
        <w:tc>
          <w:tcPr>
            <w:tcW w:type="dxa" w:w="2160"/>
          </w:tcPr>
          <w:p>
            <w:r>
              <w:t>OSM contributors / ODbL</w:t>
            </w:r>
          </w:p>
        </w:tc>
        <w:tc>
          <w:tcPr>
            <w:tcW w:type="dxa" w:w="2160"/>
          </w:tcPr>
          <w:p>
            <w:r>
              <w:t>5 central wards</w:t>
            </w:r>
          </w:p>
        </w:tc>
        <w:tc>
          <w:tcPr>
            <w:tcW w:type="dxa" w:w="2160"/>
          </w:tcPr>
          <w:p>
            <w:r>
              <w:t>segments, context, walk network</w:t>
            </w:r>
          </w:p>
        </w:tc>
      </w:tr>
      <w:tr>
        <w:tc>
          <w:tcPr>
            <w:tcW w:type="dxa" w:w="2160"/>
          </w:tcPr>
          <w:p>
            <w:r>
              <w:t>NLNI N02 station locations</w:t>
            </w:r>
          </w:p>
        </w:tc>
        <w:tc>
          <w:tcPr>
            <w:tcW w:type="dxa" w:w="2160"/>
          </w:tcPr>
          <w:p>
            <w:r>
              <w:t>MLIT / NLNI terms</w:t>
            </w:r>
          </w:p>
        </w:tc>
        <w:tc>
          <w:tcPr>
            <w:tcW w:type="dxa" w:w="2160"/>
          </w:tcPr>
          <w:p>
            <w:r>
              <w:t>FY2023</w:t>
            </w:r>
          </w:p>
        </w:tc>
        <w:tc>
          <w:tcPr>
            <w:tcW w:type="dxa" w:w="2160"/>
          </w:tcPr>
          <w:p>
            <w:r>
              <w:t>station-presence attractor</w:t>
            </w:r>
          </w:p>
        </w:tc>
      </w:tr>
      <w:tr>
        <w:tc>
          <w:tcPr>
            <w:tcW w:type="dxa" w:w="2160"/>
          </w:tcPr>
          <w:p>
            <w:r>
              <w:t>Tokyo Taxi Center monitor survey</w:t>
            </w:r>
          </w:p>
        </w:tc>
        <w:tc>
          <w:tcPr>
            <w:tcW w:type="dxa" w:w="2160"/>
          </w:tcPr>
          <w:p>
            <w:r>
              <w:t>Tokyo Taxi Center</w:t>
            </w:r>
          </w:p>
        </w:tc>
        <w:tc>
          <w:tcPr>
            <w:tcW w:type="dxa" w:w="2160"/>
          </w:tcPr>
          <w:p>
            <w:r>
              <w:t>FY2023, n=2,662</w:t>
            </w:r>
          </w:p>
        </w:tc>
        <w:tc>
          <w:tcPr>
            <w:tcW w:type="dxa" w:w="2160"/>
          </w:tcPr>
          <w:p>
            <w:r>
              <w:t>temporal profile</w:t>
            </w:r>
          </w:p>
        </w:tc>
      </w:tr>
      <w:tr>
        <w:tc>
          <w:tcPr>
            <w:tcW w:type="dxa" w:w="2160"/>
          </w:tcPr>
          <w:p>
            <w:r>
              <w:t>THTA yearbook 2025</w:t>
            </w:r>
          </w:p>
        </w:tc>
        <w:tc>
          <w:tcPr>
            <w:tcW w:type="dxa" w:w="2160"/>
          </w:tcPr>
          <w:p>
            <w:r>
              <w:t>THTA</w:t>
            </w:r>
          </w:p>
        </w:tc>
        <w:tc>
          <w:tcPr>
            <w:tcW w:type="dxa" w:w="2160"/>
          </w:tcPr>
          <w:p>
            <w:r>
              <w:t>FY2024</w:t>
            </w:r>
          </w:p>
        </w:tc>
        <w:tc>
          <w:tcPr>
            <w:tcW w:type="dxa" w:w="2160"/>
          </w:tcPr>
          <w:p>
            <w:r>
              <w:t>background</w:t>
            </w:r>
          </w:p>
        </w:tc>
      </w:tr>
    </w:tbl>
    <w:p>
      <w:pPr>
        <w:pStyle w:val="Heading1"/>
      </w:pPr>
      <w:r>
        <w:t>Table 2. Self-optimization outcomes by radius (combined specification)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Radius m</w:t>
            </w:r>
          </w:p>
        </w:tc>
        <w:tc>
          <w:tcPr>
            <w:tcW w:type="dxa" w:w="1234"/>
          </w:tcPr>
          <w:p>
            <w:r>
              <w:t>origins</w:t>
            </w:r>
          </w:p>
        </w:tc>
        <w:tc>
          <w:tcPr>
            <w:tcW w:type="dxa" w:w="1234"/>
          </w:tcPr>
          <w:p>
            <w:r>
              <w:t>improved</w:t>
            </w:r>
          </w:p>
        </w:tc>
        <w:tc>
          <w:tcPr>
            <w:tcW w:type="dxa" w:w="1234"/>
          </w:tcPr>
          <w:p>
            <w:r>
              <w:t>&gt;0.1 SD</w:t>
            </w:r>
          </w:p>
        </w:tc>
        <w:tc>
          <w:tcPr>
            <w:tcW w:type="dxa" w:w="1234"/>
          </w:tcPr>
          <w:p>
            <w:r>
              <w:t>mean gain (SD)</w:t>
            </w:r>
          </w:p>
        </w:tc>
        <w:tc>
          <w:tcPr>
            <w:tcW w:type="dxa" w:w="1234"/>
          </w:tcPr>
          <w:p>
            <w:r>
              <w:t>beats nearest major</w:t>
            </w:r>
          </w:p>
        </w:tc>
        <w:tc>
          <w:tcPr>
            <w:tcW w:type="dxa" w:w="1234"/>
          </w:tcPr>
          <w:p>
            <w:r>
              <w:t>gain CI</w:t>
            </w:r>
          </w:p>
        </w:tc>
      </w:tr>
      <w:tr>
        <w:tc>
          <w:tcPr>
            <w:tcW w:type="dxa" w:w="1234"/>
          </w:tcPr>
          <w:p>
            <w:r>
              <w:t>100</w:t>
            </w:r>
          </w:p>
        </w:tc>
        <w:tc>
          <w:tcPr>
            <w:tcW w:type="dxa" w:w="1234"/>
          </w:tcPr>
          <w:p>
            <w:r>
              <w:t>1961</w:t>
            </w:r>
          </w:p>
        </w:tc>
        <w:tc>
          <w:tcPr>
            <w:tcW w:type="dxa" w:w="1234"/>
          </w:tcPr>
          <w:p>
            <w:r>
              <w:t>84%</w:t>
            </w:r>
          </w:p>
        </w:tc>
        <w:tc>
          <w:tcPr>
            <w:tcW w:type="dxa" w:w="1234"/>
          </w:tcPr>
          <w:p>
            <w:r>
              <w:t>67%</w:t>
            </w:r>
          </w:p>
        </w:tc>
        <w:tc>
          <w:tcPr>
            <w:tcW w:type="dxa" w:w="1234"/>
          </w:tcPr>
          <w:p>
            <w:r>
              <w:t>0.69</w:t>
            </w:r>
          </w:p>
        </w:tc>
        <w:tc>
          <w:tcPr>
            <w:tcW w:type="dxa" w:w="1234"/>
          </w:tcPr>
          <w:p>
            <w:r>
              <w:t>60%</w:t>
            </w:r>
          </w:p>
        </w:tc>
        <w:tc>
          <w:tcPr>
            <w:tcW w:type="dxa" w:w="1234"/>
          </w:tcPr>
          <w:p>
            <w:r>
              <w:t>[0.6486450597175882, 0.7222897453735109]</w:t>
            </w:r>
          </w:p>
        </w:tc>
      </w:tr>
      <w:tr>
        <w:tc>
          <w:tcPr>
            <w:tcW w:type="dxa" w:w="1234"/>
          </w:tcPr>
          <w:p>
            <w:r>
              <w:t>200</w:t>
            </w:r>
          </w:p>
        </w:tc>
        <w:tc>
          <w:tcPr>
            <w:tcW w:type="dxa" w:w="1234"/>
          </w:tcPr>
          <w:p>
            <w:r>
              <w:t>1989</w:t>
            </w:r>
          </w:p>
        </w:tc>
        <w:tc>
          <w:tcPr>
            <w:tcW w:type="dxa" w:w="1234"/>
          </w:tcPr>
          <w:p>
            <w:r>
              <w:t>97%</w:t>
            </w:r>
          </w:p>
        </w:tc>
        <w:tc>
          <w:tcPr>
            <w:tcW w:type="dxa" w:w="1234"/>
          </w:tcPr>
          <w:p>
            <w:r>
              <w:t>90%</w:t>
            </w:r>
          </w:p>
        </w:tc>
        <w:tc>
          <w:tcPr>
            <w:tcW w:type="dxa" w:w="1234"/>
          </w:tcPr>
          <w:p>
            <w:r>
              <w:t>1.16</w:t>
            </w:r>
          </w:p>
        </w:tc>
        <w:tc>
          <w:tcPr>
            <w:tcW w:type="dxa" w:w="1234"/>
          </w:tcPr>
          <w:p>
            <w:r>
              <w:t>74%</w:t>
            </w:r>
          </w:p>
        </w:tc>
        <w:tc>
          <w:tcPr>
            <w:tcW w:type="dxa" w:w="1234"/>
          </w:tcPr>
          <w:p>
            <w:r>
              <w:t>[1.1244419940895996, 1.2039700077872137]</w:t>
            </w:r>
          </w:p>
        </w:tc>
      </w:tr>
      <w:tr>
        <w:tc>
          <w:tcPr>
            <w:tcW w:type="dxa" w:w="1234"/>
          </w:tcPr>
          <w:p>
            <w:r>
              <w:t>300</w:t>
            </w:r>
          </w:p>
        </w:tc>
        <w:tc>
          <w:tcPr>
            <w:tcW w:type="dxa" w:w="1234"/>
          </w:tcPr>
          <w:p>
            <w:r>
              <w:t>1997</w:t>
            </w:r>
          </w:p>
        </w:tc>
        <w:tc>
          <w:tcPr>
            <w:tcW w:type="dxa" w:w="1234"/>
          </w:tcPr>
          <w:p>
            <w:r>
              <w:t>98%</w:t>
            </w:r>
          </w:p>
        </w:tc>
        <w:tc>
          <w:tcPr>
            <w:tcW w:type="dxa" w:w="1234"/>
          </w:tcPr>
          <w:p>
            <w:r>
              <w:t>96%</w:t>
            </w:r>
          </w:p>
        </w:tc>
        <w:tc>
          <w:tcPr>
            <w:tcW w:type="dxa" w:w="1234"/>
          </w:tcPr>
          <w:p>
            <w:r>
              <w:t>1.50</w:t>
            </w:r>
          </w:p>
        </w:tc>
        <w:tc>
          <w:tcPr>
            <w:tcW w:type="dxa" w:w="1234"/>
          </w:tcPr>
          <w:p>
            <w:r>
              <w:t>81%</w:t>
            </w:r>
          </w:p>
        </w:tc>
        <w:tc>
          <w:tcPr>
            <w:tcW w:type="dxa" w:w="1234"/>
          </w:tcPr>
          <w:p>
            <w:r>
              <w:t>[1.4617260546515896, 1.5390870712050202]</w:t>
            </w:r>
          </w:p>
        </w:tc>
      </w:tr>
      <w:tr>
        <w:tc>
          <w:tcPr>
            <w:tcW w:type="dxa" w:w="1234"/>
          </w:tcPr>
          <w:p>
            <w:r>
              <w:t>500</w:t>
            </w:r>
          </w:p>
        </w:tc>
        <w:tc>
          <w:tcPr>
            <w:tcW w:type="dxa" w:w="1234"/>
          </w:tcPr>
          <w:p>
            <w:r>
              <w:t>1999</w:t>
            </w:r>
          </w:p>
        </w:tc>
        <w:tc>
          <w:tcPr>
            <w:tcW w:type="dxa" w:w="1234"/>
          </w:tcPr>
          <w:p>
            <w:r>
              <w:t>100%</w:t>
            </w:r>
          </w:p>
        </w:tc>
        <w:tc>
          <w:tcPr>
            <w:tcW w:type="dxa" w:w="1234"/>
          </w:tcPr>
          <w:p>
            <w:r>
              <w:t>99%</w:t>
            </w:r>
          </w:p>
        </w:tc>
        <w:tc>
          <w:tcPr>
            <w:tcW w:type="dxa" w:w="1234"/>
          </w:tcPr>
          <w:p>
            <w:r>
              <w:t>1.93</w:t>
            </w:r>
          </w:p>
        </w:tc>
        <w:tc>
          <w:tcPr>
            <w:tcW w:type="dxa" w:w="1234"/>
          </w:tcPr>
          <w:p>
            <w:r>
              <w:t>91%</w:t>
            </w:r>
          </w:p>
        </w:tc>
        <w:tc>
          <w:tcPr>
            <w:tcW w:type="dxa" w:w="1234"/>
          </w:tcPr>
          <w:p>
            <w:r>
              <w:t>[1.893725653229516, 1.9683781357507475]</w:t>
            </w:r>
          </w:p>
        </w:tc>
      </w:tr>
    </w:tbl>
    <w:p>
      <w:pPr>
        <w:pStyle w:val="Heading1"/>
      </w:pPr>
      <w:r>
        <w:t>Table 3. Ablation summary (300 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improved</w:t>
            </w:r>
          </w:p>
        </w:tc>
        <w:tc>
          <w:tcPr>
            <w:tcW w:type="dxa" w:w="1440"/>
          </w:tcPr>
          <w:p>
            <w:r>
              <w:t>&gt;0.1 SD</w:t>
            </w:r>
          </w:p>
        </w:tc>
        <w:tc>
          <w:tcPr>
            <w:tcW w:type="dxa" w:w="1440"/>
          </w:tcPr>
          <w:p>
            <w:r>
              <w:t>beats nearest major</w:t>
            </w:r>
          </w:p>
        </w:tc>
        <w:tc>
          <w:tcPr>
            <w:tcW w:type="dxa" w:w="1440"/>
          </w:tcPr>
          <w:p>
            <w:r>
              <w:t>beats random</w:t>
            </w:r>
          </w:p>
        </w:tc>
        <w:tc>
          <w:tcPr>
            <w:tcW w:type="dxa" w:w="1440"/>
          </w:tcPr>
          <w:p>
            <w:r>
              <w:t>best is major road</w:t>
            </w:r>
          </w:p>
        </w:tc>
      </w:tr>
      <w:tr>
        <w:tc>
          <w:tcPr>
            <w:tcW w:type="dxa" w:w="1440"/>
          </w:tcPr>
          <w:p>
            <w:r>
              <w:t>Attractor-only</w:t>
            </w:r>
          </w:p>
        </w:tc>
        <w:tc>
          <w:tcPr>
            <w:tcW w:type="dxa" w:w="1440"/>
          </w:tcPr>
          <w:p>
            <w:r>
              <w:t>99%</w:t>
            </w:r>
          </w:p>
        </w:tc>
        <w:tc>
          <w:tcPr>
            <w:tcW w:type="dxa" w:w="1440"/>
          </w:tcPr>
          <w:p>
            <w:r>
              <w:t>92%</w:t>
            </w:r>
          </w:p>
        </w:tc>
        <w:tc>
          <w:tcPr>
            <w:tcW w:type="dxa" w:w="1440"/>
          </w:tcPr>
          <w:p>
            <w:r>
              <w:t>99%</w:t>
            </w:r>
          </w:p>
        </w:tc>
        <w:tc>
          <w:tcPr>
            <w:tcW w:type="dxa" w:w="1440"/>
          </w:tcPr>
          <w:p>
            <w:r>
              <w:t>100%</w:t>
            </w:r>
          </w:p>
        </w:tc>
        <w:tc>
          <w:tcPr>
            <w:tcW w:type="dxa" w:w="1440"/>
          </w:tcPr>
          <w:p>
            <w:r>
              <w:t>12%</w:t>
            </w:r>
          </w:p>
        </w:tc>
      </w:tr>
      <w:tr>
        <w:tc>
          <w:tcPr>
            <w:tcW w:type="dxa" w:w="1440"/>
          </w:tcPr>
          <w:p>
            <w:r>
              <w:t>Combined</w:t>
            </w:r>
          </w:p>
        </w:tc>
        <w:tc>
          <w:tcPr>
            <w:tcW w:type="dxa" w:w="1440"/>
          </w:tcPr>
          <w:p>
            <w:r>
              <w:t>98%</w:t>
            </w:r>
          </w:p>
        </w:tc>
        <w:tc>
          <w:tcPr>
            <w:tcW w:type="dxa" w:w="1440"/>
          </w:tcPr>
          <w:p>
            <w:r>
              <w:t>96%</w:t>
            </w:r>
          </w:p>
        </w:tc>
        <w:tc>
          <w:tcPr>
            <w:tcW w:type="dxa" w:w="1440"/>
          </w:tcPr>
          <w:p>
            <w:r>
              <w:t>81%</w:t>
            </w:r>
          </w:p>
        </w:tc>
        <w:tc>
          <w:tcPr>
            <w:tcW w:type="dxa" w:w="1440"/>
          </w:tcPr>
          <w:p>
            <w:r>
              <w:t>100%</w:t>
            </w:r>
          </w:p>
        </w:tc>
        <w:tc>
          <w:tcPr>
            <w:tcW w:type="dxa" w:w="1440"/>
          </w:tcPr>
          <w:p>
            <w:r>
              <w:t>56%</w:t>
            </w:r>
          </w:p>
        </w:tc>
      </w:tr>
      <w:tr>
        <w:tc>
          <w:tcPr>
            <w:tcW w:type="dxa" w:w="1440"/>
          </w:tcPr>
          <w:p>
            <w:r>
              <w:t>Circulation proxy</w:t>
            </w:r>
          </w:p>
        </w:tc>
        <w:tc>
          <w:tcPr>
            <w:tcW w:type="dxa" w:w="1440"/>
          </w:tcPr>
          <w:p>
            <w:r>
              <w:t>98%</w:t>
            </w:r>
          </w:p>
        </w:tc>
        <w:tc>
          <w:tcPr>
            <w:tcW w:type="dxa" w:w="1440"/>
          </w:tcPr>
          <w:p>
            <w:r>
              <w:t>93%</w:t>
            </w:r>
          </w:p>
        </w:tc>
        <w:tc>
          <w:tcPr>
            <w:tcW w:type="dxa" w:w="1440"/>
          </w:tcPr>
          <w:p>
            <w:r>
              <w:t>83%</w:t>
            </w:r>
          </w:p>
        </w:tc>
        <w:tc>
          <w:tcPr>
            <w:tcW w:type="dxa" w:w="1440"/>
          </w:tcPr>
          <w:p>
            <w:r>
              <w:t>100%</w:t>
            </w:r>
          </w:p>
        </w:tc>
        <w:tc>
          <w:tcPr>
            <w:tcW w:type="dxa" w:w="1440"/>
          </w:tcPr>
          <w:p>
            <w:r>
              <w:t>56%</w:t>
            </w:r>
          </w:p>
        </w:tc>
      </w:tr>
      <w:tr>
        <w:tc>
          <w:tcPr>
            <w:tcW w:type="dxa" w:w="1440"/>
          </w:tcPr>
          <w:p>
            <w:r>
              <w:t>Road-only</w:t>
            </w:r>
          </w:p>
        </w:tc>
        <w:tc>
          <w:tcPr>
            <w:tcW w:type="dxa" w:w="1440"/>
          </w:tcPr>
          <w:p>
            <w:r>
              <w:t>95%</w:t>
            </w:r>
          </w:p>
        </w:tc>
        <w:tc>
          <w:tcPr>
            <w:tcW w:type="dxa" w:w="1440"/>
          </w:tcPr>
          <w:p>
            <w:r>
              <w:t>95%</w:t>
            </w:r>
          </w:p>
        </w:tc>
        <w:tc>
          <w:tcPr>
            <w:tcW w:type="dxa" w:w="1440"/>
          </w:tcPr>
          <w:p>
            <w:r>
              <w:t>66%</w:t>
            </w:r>
          </w:p>
        </w:tc>
        <w:tc>
          <w:tcPr>
            <w:tcW w:type="dxa" w:w="1440"/>
          </w:tcPr>
          <w:p>
            <w:r>
              <w:t>100%</w:t>
            </w:r>
          </w:p>
        </w:tc>
        <w:tc>
          <w:tcPr>
            <w:tcW w:type="dxa" w:w="1440"/>
          </w:tcPr>
          <w:p>
            <w:r>
              <w:t>55%</w:t>
            </w:r>
          </w:p>
        </w:tc>
      </w:tr>
    </w:tbl>
    <w:p>
      <w:pPr>
        <w:pStyle w:val="Heading1"/>
      </w:pPr>
      <w:r>
        <w:t>Table 4. Cross-specification transfer at 300 m (mean TG SD / % positive)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Selector \ Evaluator</w:t>
            </w:r>
          </w:p>
        </w:tc>
        <w:tc>
          <w:tcPr>
            <w:tcW w:type="dxa" w:w="1728"/>
          </w:tcPr>
          <w:p>
            <w:r>
              <w:t>Road-only</w:t>
            </w:r>
          </w:p>
        </w:tc>
        <w:tc>
          <w:tcPr>
            <w:tcW w:type="dxa" w:w="1728"/>
          </w:tcPr>
          <w:p>
            <w:r>
              <w:t>Attractor-only</w:t>
            </w:r>
          </w:p>
        </w:tc>
        <w:tc>
          <w:tcPr>
            <w:tcW w:type="dxa" w:w="1728"/>
          </w:tcPr>
          <w:p>
            <w:r>
              <w:t>Circulation proxy</w:t>
            </w:r>
          </w:p>
        </w:tc>
        <w:tc>
          <w:tcPr>
            <w:tcW w:type="dxa" w:w="1728"/>
          </w:tcPr>
          <w:p>
            <w:r>
              <w:t>Combined</w:t>
            </w:r>
          </w:p>
        </w:tc>
      </w:tr>
      <w:tr>
        <w:tc>
          <w:tcPr>
            <w:tcW w:type="dxa" w:w="1728"/>
          </w:tcPr>
          <w:p>
            <w:r>
              <w:t>Road-only</w:t>
            </w:r>
          </w:p>
        </w:tc>
        <w:tc>
          <w:tcPr>
            <w:tcW w:type="dxa" w:w="1728"/>
          </w:tcPr>
          <w:p>
            <w:r>
              <w:t>(self)</w:t>
            </w:r>
          </w:p>
        </w:tc>
        <w:tc>
          <w:tcPr>
            <w:tcW w:type="dxa" w:w="1728"/>
          </w:tcPr>
          <w:p>
            <w:r>
              <w:t>0.04 / 53%</w:t>
            </w:r>
          </w:p>
        </w:tc>
        <w:tc>
          <w:tcPr>
            <w:tcW w:type="dxa" w:w="1728"/>
          </w:tcPr>
          <w:p>
            <w:r>
              <w:t>1.48 / 90%</w:t>
            </w:r>
          </w:p>
        </w:tc>
        <w:tc>
          <w:tcPr>
            <w:tcW w:type="dxa" w:w="1728"/>
          </w:tcPr>
          <w:p>
            <w:r>
              <w:t>1.37 / 93%</w:t>
            </w:r>
          </w:p>
        </w:tc>
      </w:tr>
      <w:tr>
        <w:tc>
          <w:tcPr>
            <w:tcW w:type="dxa" w:w="1728"/>
          </w:tcPr>
          <w:p>
            <w:r>
              <w:t>Attractor-only</w:t>
            </w:r>
          </w:p>
        </w:tc>
        <w:tc>
          <w:tcPr>
            <w:tcW w:type="dxa" w:w="1728"/>
          </w:tcPr>
          <w:p>
            <w:r>
              <w:t>0.08 / 43%</w:t>
            </w:r>
          </w:p>
        </w:tc>
        <w:tc>
          <w:tcPr>
            <w:tcW w:type="dxa" w:w="1728"/>
          </w:tcPr>
          <w:p>
            <w:r>
              <w:t>(self)</w:t>
            </w:r>
          </w:p>
        </w:tc>
        <w:tc>
          <w:tcPr>
            <w:tcW w:type="dxa" w:w="1728"/>
          </w:tcPr>
          <w:p>
            <w:r>
              <w:t>0.27 / 69%</w:t>
            </w:r>
          </w:p>
        </w:tc>
        <w:tc>
          <w:tcPr>
            <w:tcW w:type="dxa" w:w="1728"/>
          </w:tcPr>
          <w:p>
            <w:r>
              <w:t>0.36 / 69%</w:t>
            </w:r>
          </w:p>
        </w:tc>
      </w:tr>
      <w:tr>
        <w:tc>
          <w:tcPr>
            <w:tcW w:type="dxa" w:w="1728"/>
          </w:tcPr>
          <w:p>
            <w:r>
              <w:t>Circulation proxy</w:t>
            </w:r>
          </w:p>
        </w:tc>
        <w:tc>
          <w:tcPr>
            <w:tcW w:type="dxa" w:w="1728"/>
          </w:tcPr>
          <w:p>
            <w:r>
              <w:t>1.58 / 87%</w:t>
            </w:r>
          </w:p>
        </w:tc>
        <w:tc>
          <w:tcPr>
            <w:tcW w:type="dxa" w:w="1728"/>
          </w:tcPr>
          <w:p>
            <w:r>
              <w:t>0.19 / 73%</w:t>
            </w:r>
          </w:p>
        </w:tc>
        <w:tc>
          <w:tcPr>
            <w:tcW w:type="dxa" w:w="1728"/>
          </w:tcPr>
          <w:p>
            <w:r>
              <w:t>(self)</w:t>
            </w:r>
          </w:p>
        </w:tc>
        <w:tc>
          <w:tcPr>
            <w:tcW w:type="dxa" w:w="1728"/>
          </w:tcPr>
          <w:p>
            <w:r>
              <w:t>1.46 / 97%</w:t>
            </w:r>
          </w:p>
        </w:tc>
      </w:tr>
      <w:tr>
        <w:tc>
          <w:tcPr>
            <w:tcW w:type="dxa" w:w="1728"/>
          </w:tcPr>
          <w:p>
            <w:r>
              <w:t>Combined</w:t>
            </w:r>
          </w:p>
        </w:tc>
        <w:tc>
          <w:tcPr>
            <w:tcW w:type="dxa" w:w="1728"/>
          </w:tcPr>
          <w:p>
            <w:r>
              <w:t>-</w:t>
            </w:r>
          </w:p>
        </w:tc>
        <w:tc>
          <w:tcPr>
            <w:tcW w:type="dxa" w:w="1728"/>
          </w:tcPr>
          <w:p>
            <w:r>
              <w:t>-</w:t>
            </w:r>
          </w:p>
        </w:tc>
        <w:tc>
          <w:tcPr>
            <w:tcW w:type="dxa" w:w="1728"/>
          </w:tcPr>
          <w:p>
            <w:r>
              <w:t>-</w:t>
            </w:r>
          </w:p>
        </w:tc>
        <w:tc>
          <w:tcPr>
            <w:tcW w:type="dxa" w:w="1728"/>
          </w:tcPr>
          <w:p>
            <w:r>
              <w:t>(self)</w:t>
            </w:r>
          </w:p>
        </w:tc>
      </w:tr>
    </w:tbl>
    <w:p>
      <w:pPr>
        <w:pStyle w:val="Heading1"/>
      </w:pPr>
      <w:r>
        <w:t>Table 5. Spatial permutation null (combined specification, weekday 17:00)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Radius m</w:t>
            </w:r>
          </w:p>
        </w:tc>
        <w:tc>
          <w:tcPr>
            <w:tcW w:type="dxa" w:w="1440"/>
          </w:tcPr>
          <w:p>
            <w:r>
              <w:t>obs frac&gt;0</w:t>
            </w:r>
          </w:p>
        </w:tc>
        <w:tc>
          <w:tcPr>
            <w:tcW w:type="dxa" w:w="1440"/>
          </w:tcPr>
          <w:p>
            <w:r>
              <w:t>null frac&gt;0</w:t>
            </w:r>
          </w:p>
        </w:tc>
        <w:tc>
          <w:tcPr>
            <w:tcW w:type="dxa" w:w="1440"/>
          </w:tcPr>
          <w:p>
            <w:r>
              <w:t>empirical p</w:t>
            </w:r>
          </w:p>
        </w:tc>
        <w:tc>
          <w:tcPr>
            <w:tcW w:type="dxa" w:w="1440"/>
          </w:tcPr>
          <w:p>
            <w:r>
              <w:t>obs mean G</w:t>
            </w:r>
          </w:p>
        </w:tc>
        <w:tc>
          <w:tcPr>
            <w:tcW w:type="dxa" w:w="1440"/>
          </w:tcPr>
          <w:p>
            <w:r>
              <w:t>null mean G</w:t>
            </w:r>
          </w:p>
        </w:tc>
      </w:tr>
      <w:tr>
        <w:tc>
          <w:tcPr>
            <w:tcW w:type="dxa" w:w="1440"/>
          </w:tcPr>
          <w:p>
            <w:r>
              <w:t>100</w:t>
            </w:r>
          </w:p>
        </w:tc>
        <w:tc>
          <w:tcPr>
            <w:tcW w:type="dxa" w:w="1440"/>
          </w:tcPr>
          <w:p>
            <w:r>
              <w:t>0.839</w:t>
            </w:r>
          </w:p>
        </w:tc>
        <w:tc>
          <w:tcPr>
            <w:tcW w:type="dxa" w:w="1440"/>
          </w:tcPr>
          <w:p>
            <w:r>
              <w:t>0.874</w:t>
            </w:r>
          </w:p>
        </w:tc>
        <w:tc>
          <w:tcPr>
            <w:tcW w:type="dxa" w:w="1440"/>
          </w:tcPr>
          <w:p>
            <w:r>
              <w:t>1.000</w:t>
            </w:r>
          </w:p>
        </w:tc>
        <w:tc>
          <w:tcPr>
            <w:tcW w:type="dxa" w:w="1440"/>
          </w:tcPr>
          <w:p>
            <w:r>
              <w:t>0.69</w:t>
            </w:r>
          </w:p>
        </w:tc>
        <w:tc>
          <w:tcPr>
            <w:tcW w:type="dxa" w:w="1440"/>
          </w:tcPr>
          <w:p>
            <w:r>
              <w:t>1.67</w:t>
            </w:r>
          </w:p>
        </w:tc>
      </w:tr>
      <w:tr>
        <w:tc>
          <w:tcPr>
            <w:tcW w:type="dxa" w:w="1440"/>
          </w:tcPr>
          <w:p>
            <w:r>
              <w:t>200</w:t>
            </w:r>
          </w:p>
        </w:tc>
        <w:tc>
          <w:tcPr>
            <w:tcW w:type="dxa" w:w="1440"/>
          </w:tcPr>
          <w:p>
            <w:r>
              <w:t>0.966</w:t>
            </w:r>
          </w:p>
        </w:tc>
        <w:tc>
          <w:tcPr>
            <w:tcW w:type="dxa" w:w="1440"/>
          </w:tcPr>
          <w:p>
            <w:r>
              <w:t>0.957</w:t>
            </w:r>
          </w:p>
        </w:tc>
        <w:tc>
          <w:tcPr>
            <w:tcW w:type="dxa" w:w="1440"/>
          </w:tcPr>
          <w:p>
            <w:r>
              <w:t>0.030</w:t>
            </w:r>
          </w:p>
        </w:tc>
        <w:tc>
          <w:tcPr>
            <w:tcW w:type="dxa" w:w="1440"/>
          </w:tcPr>
          <w:p>
            <w:r>
              <w:t>1.17</w:t>
            </w:r>
          </w:p>
        </w:tc>
        <w:tc>
          <w:tcPr>
            <w:tcW w:type="dxa" w:w="1440"/>
          </w:tcPr>
          <w:p>
            <w:r>
              <w:t>2.30</w:t>
            </w:r>
          </w:p>
        </w:tc>
      </w:tr>
      <w:tr>
        <w:tc>
          <w:tcPr>
            <w:tcW w:type="dxa" w:w="1440"/>
          </w:tcPr>
          <w:p>
            <w:r>
              <w:t>300</w:t>
            </w:r>
          </w:p>
        </w:tc>
        <w:tc>
          <w:tcPr>
            <w:tcW w:type="dxa" w:w="1440"/>
          </w:tcPr>
          <w:p>
            <w:r>
              <w:t>0.983</w:t>
            </w:r>
          </w:p>
        </w:tc>
        <w:tc>
          <w:tcPr>
            <w:tcW w:type="dxa" w:w="1440"/>
          </w:tcPr>
          <w:p>
            <w:r>
              <w:t>0.979</w:t>
            </w:r>
          </w:p>
        </w:tc>
        <w:tc>
          <w:tcPr>
            <w:tcW w:type="dxa" w:w="1440"/>
          </w:tcPr>
          <w:p>
            <w:r>
              <w:t>0.074</w:t>
            </w:r>
          </w:p>
        </w:tc>
        <w:tc>
          <w:tcPr>
            <w:tcW w:type="dxa" w:w="1440"/>
          </w:tcPr>
          <w:p>
            <w:r>
              <w:t>1.50</w:t>
            </w:r>
          </w:p>
        </w:tc>
        <w:tc>
          <w:tcPr>
            <w:tcW w:type="dxa" w:w="1440"/>
          </w:tcPr>
          <w:p>
            <w:r>
              <w:t>2.61</w:t>
            </w:r>
          </w:p>
        </w:tc>
      </w:tr>
      <w:tr>
        <w:tc>
          <w:tcPr>
            <w:tcW w:type="dxa" w:w="1440"/>
          </w:tcPr>
          <w:p>
            <w:r>
              <w:t>500</w:t>
            </w:r>
          </w:p>
        </w:tc>
        <w:tc>
          <w:tcPr>
            <w:tcW w:type="dxa" w:w="1440"/>
          </w:tcPr>
          <w:p>
            <w:r>
              <w:t>0.995</w:t>
            </w:r>
          </w:p>
        </w:tc>
        <w:tc>
          <w:tcPr>
            <w:tcW w:type="dxa" w:w="1440"/>
          </w:tcPr>
          <w:p>
            <w:r>
              <w:t>0.992</w:t>
            </w:r>
          </w:p>
        </w:tc>
        <w:tc>
          <w:tcPr>
            <w:tcW w:type="dxa" w:w="1440"/>
          </w:tcPr>
          <w:p>
            <w:r>
              <w:t>0.086</w:t>
            </w:r>
          </w:p>
        </w:tc>
        <w:tc>
          <w:tcPr>
            <w:tcW w:type="dxa" w:w="1440"/>
          </w:tcPr>
          <w:p>
            <w:r>
              <w:t>1.92</w:t>
            </w:r>
          </w:p>
        </w:tc>
        <w:tc>
          <w:tcPr>
            <w:tcW w:type="dxa" w:w="1440"/>
          </w:tcPr>
          <w:p>
            <w:r>
              <w:t>2.90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