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Editors,</w:t>
      </w:r>
    </w:p>
    <w:p>
      <w:r>
        <w:t>We submit 'Public-Data Ranking of Street-Hail Taxi Opportunity and Pedestrian Relocation Candidates Without Fleet Telemetry'. The study asks whether public urban data alone — road networks, station volumes, mapped attractors, published taxi-use statistics — can generate a defensible relative ranking of modeled street-hail opportunity and non-trivial pedestrian relocation candidates, in the five central wards of Tokyo.</w:t>
      </w:r>
    </w:p>
    <w:p>
      <w:r>
        <w:t>Unlike GPS-trajectory taxi recommenders, the framework uses no proprietary fleet data anywhere. A component ablation (road-only vs attractor-only vs proxy vs combined) demonstrates that the relocation signal is not a tautology of the composite score. The paper is methodological groundwork: it produces candidate spatial contrasts for empirical validation and makes no claim about actual waiting times, vacant-taxi availability, or behavioral outcomes.</w:t>
      </w:r>
    </w:p>
    <w:p>
      <w:r>
        <w:t>The manuscript is original, not under consideration elsewhere, uses only legally accessible public data, and involves no human subjects.</w:t>
      </w:r>
    </w:p>
    <w:p>
      <w:r>
        <w:t>Sincerely,</w:t>
        <w:br/>
        <w:t>The Authors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