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Public-Data Ranking of Street-Hail Taxi Opportunity and Pedestrian Relocation Candidates Without Fleet Telemetry</w:t>
      </w:r>
    </w:p>
    <w:p>
      <w:pPr>
        <w:jc w:val="center"/>
      </w:pPr>
      <w:r>
        <w:t>A computational feasibility study in central Tokyo</w:t>
      </w:r>
    </w:p>
    <w:p>
      <w:pPr>
        <w:pStyle w:val="Heading1"/>
      </w:pPr>
      <w:r>
        <w:t>Abstract</w:t>
      </w:r>
    </w:p>
    <w:p>
      <w:r>
        <w:t>Background: Street-hail taxi opportunity varies block by block, but the data that would measure it — vacant-taxi telemetry — are proprietary. This study asks whether public urban data alone can generate a defensible relative ranking of modeled street-hail opportunity and non-trivial pedestrian relocation candidates. No proprietary fleet data, roadside observation, or waiting-time measurements are used; all scores are proxy-based and uncalibrated.</w:t>
      </w:r>
    </w:p>
    <w:p>
      <w:r>
        <w:t>Methods: A directed road-segment map of the five central wards of Tokyo (27,887 hail-feasible segments) was combined with a public-data-derived circulation-potential proxy (road hierarchy, FY2023 railway-station passenger volumes, mapped attractors, and a published hourly taxi-use profile). Four opportunity specifications — road-only, attractor-only, circulation proxy, and combined — were evaluated ablatively. For 2,000 sampled origins across ten day-type-hour periods, relocation within 100-500 m network distance was compared against staying, random relocation, and the nearest major road.</w:t>
      </w:r>
    </w:p>
    <w:p>
      <w:r>
        <w:t>Results: 96%-100% of origins had a higher-scoring reachable segment at 200-500 m. The combined optimizer exceeded random relocation in ~100% of origins and the nearest-major-road heuristic in 73%-88% of origins (paired Wilcoxon p&lt;0.001). Relocation opportunity persisted under every ablation: road-only and attractor-only constructions yielded 95% and 99% improved origins at 300 m, with segment rank correlations to the combined model of 0.52-0.93.</w:t>
      </w:r>
    </w:p>
    <w:p>
      <w:r>
        <w:t>Conclusions: Public urban data can generate robust relative rankings of modeled street-hail opportunity and identify candidate pedestrian relocation contrasts without proprietary fleet telemetry. The scores carry no calibrated waiting-time meaning; they define candidate spatial contrasts for the field-validation study that must follow.</w:t>
      </w:r>
    </w:p>
    <w:p>
      <w:r>
        <w:t>Keywords: street-hail taxi; public data; pedestrian relocation; accessibility proxy; OpenStreetMap; Tokyo; feasibility study</w:t>
      </w:r>
    </w:p>
    <w:p>
      <w:pPr>
        <w:pStyle w:val="Heading1"/>
      </w:pPr>
      <w:r>
        <w:t>1. Introduction</w:t>
      </w:r>
    </w:p>
    <w:p>
      <w:r>
        <w:t>Street hailing remains a primary taxi-access mode in dense cities such as Tokyo [1], but the data needed to quantify street-level opportunity — vacant-taxi trajectories — are proprietary. Passengers, and researchers without fleet access, cannot observe them.</w:t>
      </w:r>
    </w:p>
    <w:p>
      <w:r>
        <w:t>Prior work optimizes the fleet side: GPS-based taxi-demand prediction [2], stand siting [3], cruising-area recommendation [4], and bilateral search equilibrium models [5]. Passenger-side relocation toward better pickup spots is precedented (T-Finder [6], walkable pickup-and-drop-off designs [7]) but every such system is trained on telemetry. The open question is what survives when telemetry is removed entirely.</w:t>
      </w:r>
    </w:p>
    <w:p>
      <w:r>
        <w:t>This study is deliberately a dry, public-data feasibility analysis. It constructs a public-data-derived proxy for relative street-hail opportunity — not a measurement of vacant-taxi supply — and tests whether the resulting spatial rankings reveal meaningful pedestrian relocation contrasts. A component ablation asks whether the signal survives when the construct is decomposed into road-structure-only and attractor-only families, guarding against a tautological composite score.</w:t>
      </w:r>
    </w:p>
    <w:p>
      <w:r>
        <w:t>The intended contribution is the measurement/data architecture: telemetry-free, segment-level, passenger-side, and robustness-audited. Claims are restricted to modeled opportunity rankings; waiting times and vacant-taxi probabilities are reserved for empirical validation.</w:t>
      </w:r>
    </w:p>
    <w:p>
      <w:pPr>
        <w:pStyle w:val="Heading1"/>
      </w:pPr>
      <w:r>
        <w:t>2. Materials and Methods</w:t>
      </w:r>
    </w:p>
    <w:p>
      <w:pPr>
        <w:pStyle w:val="Heading2"/>
      </w:pPr>
      <w:r>
        <w:t>2.1 Study area</w:t>
      </w:r>
    </w:p>
    <w:p>
      <w:r>
        <w:t>The five contiguous central wards of Tokyo (Chiyoda, Chuo, Minato, Shinjuku, Shibuya) — a canonical street-hail environment [1].</w:t>
      </w:r>
    </w:p>
    <w:p>
      <w:pPr>
        <w:pStyle w:val="Heading2"/>
      </w:pPr>
      <w:r>
        <w:t>2.2 Public data sources</w:t>
      </w:r>
    </w:p>
    <w:p>
      <w:r>
        <w:t>OpenStreetMap road network and POIs via Overpass [8]; FY2023 railway-station passenger volumes (MLIT National Land Numerical Information) [9]; the hourly taxi-use distribution from the Tokyo Taxi Center user-monitor survey [10]. The restricted CSIS Pseudo-PFLOW business-traffic trajectories were inaccessible and substituted; see DATA_SOURCE_AUDIT.</w:t>
      </w:r>
    </w:p>
    <w:p>
      <w:pPr>
        <w:pStyle w:val="Heading2"/>
      </w:pPr>
      <w:r>
        <w:t>2.3 Directed road-network construction</w:t>
      </w:r>
    </w:p>
    <w:p>
      <w:r>
        <w:t>The OSM driving graph was reduced to 27,887 hail-feasible directed segments (motorway, trunk and pedestrian classes excluded). The OSM walk graph (182,538 edges) supplies pedestrian distances.</w:t>
      </w:r>
    </w:p>
    <w:p>
      <w:pPr>
        <w:pStyle w:val="Heading2"/>
      </w:pPr>
      <w:r>
        <w:t>2.4 Circulation-potential proxy</w:t>
      </w:r>
    </w:p>
    <w:p>
      <w:r>
        <w:t>The modeled proxy combines a road-class capacity weight, a Gaussian demand-attractor kernel field, and the monitor-survey hourly profile blended toward a night-shifted variant in nightlife contexts:</w:t>
      </w:r>
    </w:p>
    <w:p>
      <w:pPr>
        <w:jc w:val="center"/>
      </w:pPr>
      <m:oMath>
        <m:r>
          <m:t>P</m:t>
        </m:r>
        <m:sSub>
          <m:e>
            <m:r>
              <m:t>circ</m:t>
            </m:r>
          </m:e>
          <m:sub>
            <m:r>
              <m:t/>
            </m:r>
          </m:sub>
        </m:sSub>
        <m:r>
          <m:t>(e,t) = w_road(e)·(0.3 + D(e))·P(h;ctx(e))</m:t>
        </m:r>
      </m:oMath>
    </w:p>
    <w:p>
      <w:r>
        <w:t>This is a modeled proxy, not observed taxi flow; the temporal structure is partly assumed (weekend/night behavior is a modeling input).</w:t>
      </w:r>
    </w:p>
    <w:p>
      <w:pPr>
        <w:pStyle w:val="Heading2"/>
      </w:pPr>
      <w:r>
        <w:t>2.5 Opportunity specifications and ablation</w:t>
      </w:r>
    </w:p>
    <w:p>
      <w:r>
        <w:t>Four specifications define the ablation family: road-only (hierarchy, degree, lanes), attractor-only (station, nightlife, hotel/hospital, transit, taxi-stand kernels), the circulation-potential proxy, and a combined score:</w:t>
      </w:r>
    </w:p>
    <w:p>
      <w:pPr>
        <w:jc w:val="center"/>
      </w:pPr>
      <m:oMath>
        <m:sSub>
          <m:e>
            <m:r>
              <m:t>S</m:t>
            </m:r>
          </m:e>
          <m:sub>
            <m:r>
              <m:t>COMB</m:t>
            </m:r>
          </m:sub>
        </m:sSub>
        <m:r>
          <m:t>(e,t) = z(z log(1+P_circ) + 0.5·S_road + 0.4·C_ctx)</m:t>
        </m:r>
      </m:oMath>
    </w:p>
    <w:p>
      <w:r>
        <w:t>All scores are z-standardized; weights are transparent and untuned. The ablation tests whether relocation signal persists under substantially different constructions rather than relying on the composite.</w:t>
      </w:r>
    </w:p>
    <w:p>
      <w:pPr>
        <w:pStyle w:val="Heading2"/>
      </w:pPr>
      <w:r>
        <w:t>2.6 Origin generation</w:t>
      </w:r>
    </w:p>
    <w:p>
      <w:r>
        <w:t>2,000 origins sampled uniformly from hail-feasible segments (seed 42).</w:t>
      </w:r>
    </w:p>
    <w:p>
      <w:pPr>
        <w:pStyle w:val="Heading2"/>
      </w:pPr>
      <w:r>
        <w:t>2.7 Walking neighborhoods</w:t>
      </w:r>
    </w:p>
    <w:p>
      <w:r>
        <w:t>Reachable drive segments = hail-feasible edges with midpoint within 25 m of a walk node reachable within radius 100/200/300/500 m.</w:t>
      </w:r>
    </w:p>
    <w:p>
      <w:pPr>
        <w:pStyle w:val="Heading2"/>
      </w:pPr>
      <w:r>
        <w:t>2.8 Relocation optimization and metrics</w:t>
      </w:r>
    </w:p>
    <w:p>
      <w:r>
        <w:t>Primary metric: absolute gain in standardized score</w:t>
      </w:r>
    </w:p>
    <w:p>
      <w:pPr>
        <w:jc w:val="center"/>
      </w:pPr>
      <m:oMath>
        <m:sSub>
          <m:e>
            <m:r>
              <m:t>G</m:t>
            </m:r>
          </m:e>
          <m:sub>
            <m:r>
              <m:t>S</m:t>
            </m:r>
          </m:sub>
        </m:sSub>
        <m:r>
          <m:t> = S*(x0,t) − S0</m:t>
        </m:r>
      </m:oMath>
    </w:p>
    <w:p>
      <w:r>
        <w:t>Fraction of origins improved and distance to prespecified score improvement are co-primary. Relative percentage gain is secondary only: z-scores cross zero, making percentage gains near the mean denominator-unstable; no headline result uses them.</w:t>
      </w:r>
    </w:p>
    <w:p>
      <w:pPr>
        <w:pStyle w:val="Heading2"/>
      </w:pPr>
      <w:r>
        <w:t>2.9 Baseline heuristics</w:t>
      </w:r>
    </w:p>
    <w:p>
      <w:r>
        <w:t>Stay; random relocation (10 seeded draws); nearest major-class road segment; per-specification optima in the ablation.</w:t>
      </w:r>
    </w:p>
    <w:p>
      <w:pPr>
        <w:pStyle w:val="Heading2"/>
      </w:pPr>
      <w:r>
        <w:t>2.10 Sensitivity analyses</w:t>
      </w:r>
    </w:p>
    <w:p>
      <w:r>
        <w:t>Radii, specification family, improvement thresholds, candidate sets, kernel bandwidth (150/300/500 m), and day-type-hour structure; stability via Spearman correlation, top-1% Jaccard, gain-class transitions, and same-segment optimum agreement.</w:t>
      </w:r>
    </w:p>
    <w:p>
      <w:pPr>
        <w:pStyle w:val="Heading2"/>
      </w:pPr>
      <w:r>
        <w:t>2.11 Reproducibility</w:t>
      </w:r>
    </w:p>
    <w:p>
      <w:r>
        <w:t>Fixed seeds, raw-data snapshots with SHA-256 ledger, all code and result tables provided.</w:t>
      </w:r>
    </w:p>
    <w:p>
      <w:pPr>
        <w:pStyle w:val="Heading1"/>
      </w:pPr>
      <w:r>
        <w:t>3. Results</w:t>
      </w:r>
    </w:p>
    <w:p>
      <w:pPr>
        <w:pStyle w:val="Heading2"/>
      </w:pPr>
      <w:r>
        <w:t>3.1 Spatial structure of modeled opportunity</w:t>
      </w:r>
    </w:p>
    <w:p>
      <w:r>
        <w:t>The modeled opportunity score shows continuous ridges along arterial corridors and station fronts and troughs in interior blocks (Figure 2). These are modeled contrasts, not observed taxi density.</w:t>
      </w:r>
    </w:p>
    <w:p>
      <w:r>
        <w:drawing>
          <wp:inline xmlns:a="http://schemas.openxmlformats.org/drawingml/2006/main" xmlns:pic="http://schemas.openxmlformats.org/drawingml/2006/picture">
            <wp:extent cx="5486400" cy="2420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Modeled street-hail opportunity (combined specification, SD units), weekday 17:00 and weekend 23:00. Values are proxy-based modeled scores, not observed taxi flow.</w:t>
      </w:r>
    </w:p>
    <w:p>
      <w:pPr>
        <w:pStyle w:val="Heading2"/>
      </w:pPr>
      <w:r>
        <w:t>3.2 Local heterogeneity and relocation gain</w:t>
      </w:r>
    </w:p>
    <w:p>
      <w:r>
        <w:t>Under the combined specification, 83%-100% of origins have a higher-scoring segment within 100-500 m; mean absolute gain ranges 0.78 to 2.12 SD (bootstrap CIs exclude zero; Table 2, Figure 4).</w:t>
      </w:r>
    </w:p>
    <w:p>
      <w:r>
        <w:drawing>
          <wp:inline xmlns:a="http://schemas.openxmlformats.org/drawingml/2006/main" xmlns:pic="http://schemas.openxmlformats.org/drawingml/2006/picture">
            <wp:extent cx="5486400" cy="3585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ain_by_radi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5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Distribution of absolute opportunity-score gain (SD units) by walking radius; violins with medians.</w:t>
      </w:r>
    </w:p>
    <w:p>
      <w:pPr>
        <w:pStyle w:val="Heading2"/>
      </w:pPr>
      <w:r>
        <w:t>3.3 Comparison with random and major-road heuristics</w:t>
      </w:r>
    </w:p>
    <w:p>
      <w:r>
        <w:t>The optimizer exceeds random relocation in ~100% of origins and the nearest major road in 60%-88%, mean paired surplus 0.10-0.33 SD (Wilcoxon p&lt;0.001). The optimal segment is itself major-class in 75% of origins at 500 m: the added value is selecting which corridor, not walking toward any major street (Figure 5).</w:t>
      </w:r>
    </w:p>
    <w:p>
      <w:r>
        <w:drawing>
          <wp:inline xmlns:a="http://schemas.openxmlformats.org/drawingml/2006/main" xmlns:pic="http://schemas.openxmlformats.org/drawingml/2006/picture">
            <wp:extent cx="5486400" cy="3652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rateg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Mean modeled opportunity score by strategy (combined specification, all radii pooled). Error bars = SEM.</w:t>
      </w:r>
    </w:p>
    <w:p>
      <w:pPr>
        <w:pStyle w:val="Heading2"/>
      </w:pPr>
      <w:r>
        <w:t>3.4 Ablation: does the signal survive decomposition?</w:t>
      </w:r>
    </w:p>
    <w:p>
      <w:r>
        <w:t>Relocation opportunity persists under every construction (Figure 7, Table 3): at 300 m, road-only improves 95% of origins and attractor-only 99%. Against the nearest major road, the road-only optimum wins 66% of origins (its own input is hierarchy), while attractor-only wins 99% — the spatial contrast is not an artifact of any single component family. Segment rank correlations with the combined model are 0.93 (proxy), 0.73 (road-only), 0.52 (attractor-only): moderate agreement, meaning the constructions are genuinely different yet consistently identify local gradients.</w:t>
      </w:r>
    </w:p>
    <w:p>
      <w:r>
        <w:drawing>
          <wp:inline xmlns:a="http://schemas.openxmlformats.org/drawingml/2006/main" xmlns:pic="http://schemas.openxmlformats.org/drawingml/2006/picture">
            <wp:extent cx="5486400" cy="1848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Ablation summary. Left: fraction of origins improved by radius. Middle: fraction beating the nearest-major-road heuristic. Right: mean Spearman rank correlation of each specification against the combined model.</w:t>
      </w:r>
    </w:p>
    <w:p>
      <w:pPr>
        <w:pStyle w:val="Heading2"/>
      </w:pPr>
      <w:r>
        <w:t>3.5 Temporal and district model behavior</w:t>
      </w:r>
    </w:p>
    <w:p>
      <w:r>
        <w:t>Under the modeled temporal specifications, computed relocation gains are largest in the weekday-morning period, and the weekend specification shifts modeled opportunity toward nightlife contexts. These are input-profile consequences — descriptive model behavior, not observed urban patterns (Figure 6). Ward-level differences in mean gain are consistent with block-structure differences.</w:t>
      </w:r>
    </w:p>
    <w:p>
      <w:r>
        <w:drawing>
          <wp:inline xmlns:a="http://schemas.openxmlformats.org/drawingml/2006/main" xmlns:pic="http://schemas.openxmlformats.org/drawingml/2006/picture">
            <wp:extent cx="5486400" cy="2653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eterogene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Modeled mean relocation gain by hour/day-type (left) and ward/radius (right) under the assumed temporal profile — model behavior, not observed patterns.</w:t>
      </w:r>
    </w:p>
    <w:p>
      <w:pPr>
        <w:pStyle w:val="Heading2"/>
      </w:pPr>
      <w:r>
        <w:t>3.6 Robustness</w:t>
      </w:r>
    </w:p>
    <w:p>
      <w:r>
        <w:t>Halving/raising the attractor kernel bandwidth (150/500 m) leaves per-origin gains nearly unchanged (rho 0.98/0.99; identical optimum in 69%/88% of origins).</w:t>
      </w:r>
    </w:p>
    <w:p>
      <w:r>
        <w:drawing>
          <wp:inline xmlns:a="http://schemas.openxmlformats.org/drawingml/2006/main" xmlns:pic="http://schemas.openxmlformats.org/drawingml/2006/picture">
            <wp:extent cx="5486400" cy="1708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Conceptual framework: public data to modeled opportunity ranking to walkable relocation candidates.</w:t>
      </w:r>
    </w:p>
    <w:p>
      <w:r>
        <w:drawing>
          <wp:inline xmlns:a="http://schemas.openxmlformats.org/drawingml/2006/main" xmlns:pic="http://schemas.openxmlformats.org/drawingml/2006/picture">
            <wp:extent cx="5486400" cy="3929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orked_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Worked example (200 m, weekday 17:00): origin (star), reachable segments colored by modeled opportunity, nearest major road (blue square), optimizer's choice (red circle).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Main findings</w:t>
      </w:r>
    </w:p>
    <w:p>
      <w:r>
        <w:t>Public urban data generate spatially structured candidate rankings of modeled street-hail opportunity in which short pedestrian relocation yields non-trivial score gains for a large majority of origins — and the contrast persists under independent ablation constructions. Consistency across substantially different public-data constructions, not any single score, is the main result.</w:t>
      </w:r>
    </w:p>
    <w:p>
      <w:pPr>
        <w:pStyle w:val="Heading2"/>
      </w:pPr>
      <w:r>
        <w:t>4.2 Passenger-side interpretation</w:t>
      </w:r>
    </w:p>
    <w:p>
      <w:r>
        <w:t>The score is a relative modeled opportunity, not waiting time. The resulting spatial contrasts are sufficiently large and structured to motivate prospective empirical validation — whether they translate into shorter waits is exactly what Paper 2 must measure.</w:t>
      </w:r>
    </w:p>
    <w:p>
      <w:pPr>
        <w:pStyle w:val="Heading2"/>
      </w:pPr>
      <w:r>
        <w:t>4.3 Why walking relocation matters</w:t>
      </w:r>
    </w:p>
    <w:p>
      <w:r>
        <w:t>Passenger-side relocation needs no fleet coordination or data license. That the optimizer's added value is 'which corridor' rather than 'walk toward a major street' is itself a useful finding for downstream study design.</w:t>
      </w:r>
    </w:p>
    <w:p>
      <w:pPr>
        <w:pStyle w:val="Heading2"/>
      </w:pPr>
      <w:r>
        <w:t>4.4 Implications for low-friction taxi access</w:t>
      </w:r>
    </w:p>
    <w:p>
      <w:r>
        <w:t>A public-data opportunity layer could support map overlays and station-exit guidance where fleet APIs are unavailable — contingent on empirical calibration.</w:t>
      </w:r>
    </w:p>
    <w:p>
      <w:pPr>
        <w:pStyle w:val="Heading2"/>
      </w:pPr>
      <w:r>
        <w:t>4.5 Visitors unfamiliar with local conventions</w:t>
      </w:r>
    </w:p>
    <w:p>
      <w:r>
        <w:t>Street-hail conventions differ internationally; Japanese taxis display external occupancy/availability indications. A relocation recommendation is most useful paired with such cues — an application note, not a tested claim.</w:t>
      </w:r>
    </w:p>
    <w:p>
      <w:pPr>
        <w:pStyle w:val="Heading2"/>
      </w:pPr>
      <w:r>
        <w:t>4.6 Generalization</w:t>
      </w:r>
    </w:p>
    <w:p>
      <w:r>
        <w:t>The pipeline needs only OSM, public attractor data, and an aggregate temporal profile; magnitudes are city-specific.</w:t>
      </w:r>
    </w:p>
    <w:p>
      <w:pPr>
        <w:pStyle w:val="Heading2"/>
      </w:pPr>
      <w:r>
        <w:t>4.7 What this study does not establish</w:t>
      </w:r>
    </w:p>
    <w:p>
      <w:r>
        <w:t>By design, Paper 1 establishes none of: actual vacant-taxi passage rates, real waiting-time reduction, probability of a successful street hail, or behavioral compliance with walking recommendations. These require Paper 2 field observation and calibration.</w:t>
      </w:r>
    </w:p>
    <w:p>
      <w:pPr>
        <w:pStyle w:val="Heading2"/>
      </w:pPr>
      <w:r>
        <w:t>4.8 Limitations</w:t>
      </w:r>
    </w:p>
    <w:p>
      <w:r>
        <w:t>(i) The circulation-potential proxy is modeled, not observed — the Pseudo-PFLOW trajectories were access-restricted and substituted. (ii) Scores are uncalibrated to waiting time. (iii) Weekend and night temporal structure is assumed, not measured. (iv) OSM completeness and monitor-survey sampling introduce bias. (v) No demand-side competition is modeled.</w:t>
      </w:r>
    </w:p>
    <w:p>
      <w:pPr>
        <w:pStyle w:val="Heading2"/>
      </w:pPr>
      <w:r>
        <w:t>4.9 Relationship to Paper 2</w:t>
      </w:r>
    </w:p>
    <w:p>
      <w:r>
        <w:t>Paper 2 provides empirical validation: roadside observation of vacant/occupied passage, waiting-time measurement, score-to-waiting-time calibration, and prospective recommendation testing. Paper 1 supplies candidate spatial contrasts for that validation.</w:t>
      </w:r>
    </w:p>
    <w:p>
      <w:pPr>
        <w:pStyle w:val="Heading1"/>
      </w:pPr>
      <w:r>
        <w:t>5. Conclusion</w:t>
      </w:r>
    </w:p>
    <w:p>
      <w:r>
        <w:t>Multiple independent public-data constructions identify consistent local gradients in modeled street-hail opportunity, and optimized pedestrian relocation over those rankings adds information beyond the nearest-major-road heuristic. The result is a validated computational precondition, not a validated passenger benefit.</w:t>
      </w:r>
    </w:p>
    <w:p>
      <w:pPr>
        <w:pStyle w:val="Heading1"/>
      </w:pPr>
      <w:r>
        <w:t>References</w:t>
      </w:r>
    </w:p>
    <w:p>
      <w:r>
        <w:rPr>
          <w:b/>
        </w:rPr>
        <w:t xml:space="preserve">1. </w:t>
      </w:r>
      <w:r>
        <w:t>Tokyo Hire-Taxi Association. Tokyo no Taxi 2025. https://taxi-tokyo.or.jp/ (accessed 2026-09-29).</w:t>
      </w:r>
    </w:p>
    <w:p>
      <w:r>
        <w:rPr>
          <w:b/>
        </w:rPr>
        <w:t xml:space="preserve">2. </w:t>
      </w:r>
      <w:r>
        <w:t>Moreira-Matias L, Gama J, Ferreira M, Mendes-Moreira J, Damas L. Predicting taxi-passenger demand using streaming data. IEEE Trans Intell Transp Syst. 2013;14(3):1393-1402.</w:t>
      </w:r>
    </w:p>
    <w:p>
      <w:r>
        <w:rPr>
          <w:b/>
        </w:rPr>
        <w:t xml:space="preserve">3. </w:t>
      </w:r>
      <w:r>
        <w:t>Ocalir EV, Ercoskun OY, Tur R. An integrated model of GIS and fuzzy logic (FMOTS) for location decisions of taxicab stands. Expert Syst Appl. 2010;37(7):4892-4901.</w:t>
      </w:r>
    </w:p>
    <w:p>
      <w:r>
        <w:rPr>
          <w:b/>
        </w:rPr>
        <w:t xml:space="preserve">4. </w:t>
      </w:r>
      <w:r>
        <w:t>Hwang RH, Hsueh YL, Chen YT. An effective taxi recommender system based on a spatio-temporal factor analysis model. Inf Sci. 2015;314:28-40.</w:t>
      </w:r>
    </w:p>
    <w:p>
      <w:r>
        <w:rPr>
          <w:b/>
        </w:rPr>
        <w:t xml:space="preserve">5. </w:t>
      </w:r>
      <w:r>
        <w:t>Yang H, Leung CWY, Wong SC, Bell MGH. Equilibria of bilateral taxi-customer searching and meeting on networks. Transp Res Part B. 2010;44(8-9):1067-1083.</w:t>
      </w:r>
    </w:p>
    <w:p>
      <w:r>
        <w:rPr>
          <w:b/>
        </w:rPr>
        <w:t xml:space="preserve">6. </w:t>
      </w:r>
      <w:r>
        <w:t>Yuan NJ, Zheng Y, Zhang L, Xie X. T-Finder: a recommender system for finding passengers and vacant taxis. IEEE Trans Knowl Data Eng. 2013;25(10):2390-2403.</w:t>
      </w:r>
    </w:p>
    <w:p>
      <w:r>
        <w:rPr>
          <w:b/>
        </w:rPr>
        <w:t xml:space="preserve">7. </w:t>
      </w:r>
      <w:r>
        <w:t>Alonso-Mora J, Samaranayake S, Wallar A, Frazzoli E, Rus D. On-demand high-capacity ride-sharing via dynamic trip-vehicle assignment. Proc Natl Acad Sci USA. 2017;114(3):462-467.</w:t>
      </w:r>
    </w:p>
    <w:p>
      <w:r>
        <w:rPr>
          <w:b/>
        </w:rPr>
        <w:t xml:space="preserve">8. </w:t>
      </w:r>
      <w:r>
        <w:t>OpenStreetMap contributors. Planet dump and Overpass API. https://www.openstreetmap.org (ODbL; accessed 2026-09-29 via OSMnx 2.0.7).</w:t>
      </w:r>
    </w:p>
    <w:p>
      <w:r>
        <w:rPr>
          <w:b/>
        </w:rPr>
        <w:t xml:space="preserve">9. </w:t>
      </w:r>
      <w:r>
        <w:t>Ministry of Land, Infrastructure, Transport and Tourism (Japan). National Land Numerical Information, N02 railway dataset (FY2023). https://nlftp.mlit.go.jp/ksj/ (accessed 2026-09-29).</w:t>
      </w:r>
    </w:p>
    <w:p>
      <w:r>
        <w:rPr>
          <w:b/>
        </w:rPr>
        <w:t xml:space="preserve">10. </w:t>
      </w:r>
      <w:r>
        <w:t>Tokyo Taxi Center. Taxi user monitor survey, FY2023 tabulation report. https://www.tokyo-tc.or.jp/center/uploads/monitor_2024.pdf (accessed 2026-09-29).</w:t>
      </w:r>
    </w:p>
    <w:p>
      <w:pPr>
        <w:pStyle w:val="Heading1"/>
      </w:pPr>
      <w:r>
        <w:t>Table 1. Public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Provider/License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OSM road network + POIs</w:t>
            </w:r>
          </w:p>
        </w:tc>
        <w:tc>
          <w:tcPr>
            <w:tcW w:type="dxa" w:w="2160"/>
          </w:tcPr>
          <w:p>
            <w:r>
              <w:t>OSM contributors / ODbL</w:t>
            </w:r>
          </w:p>
        </w:tc>
        <w:tc>
          <w:tcPr>
            <w:tcW w:type="dxa" w:w="2160"/>
          </w:tcPr>
          <w:p>
            <w:r>
              <w:t>5 central wards</w:t>
            </w:r>
          </w:p>
        </w:tc>
        <w:tc>
          <w:tcPr>
            <w:tcW w:type="dxa" w:w="2160"/>
          </w:tcPr>
          <w:p>
            <w:r>
              <w:t>segments, context, walk network</w:t>
            </w:r>
          </w:p>
        </w:tc>
      </w:tr>
      <w:tr>
        <w:tc>
          <w:tcPr>
            <w:tcW w:type="dxa" w:w="2160"/>
          </w:tcPr>
          <w:p>
            <w:r>
              <w:t>NLNI N02 stations</w:t>
            </w:r>
          </w:p>
        </w:tc>
        <w:tc>
          <w:tcPr>
            <w:tcW w:type="dxa" w:w="2160"/>
          </w:tcPr>
          <w:p>
            <w:r>
              <w:t>MLIT / NLNI terms</w:t>
            </w:r>
          </w:p>
        </w:tc>
        <w:tc>
          <w:tcPr>
            <w:tcW w:type="dxa" w:w="2160"/>
          </w:tcPr>
          <w:p>
            <w:r>
              <w:t>FY2023</w:t>
            </w:r>
          </w:p>
        </w:tc>
        <w:tc>
          <w:tcPr>
            <w:tcW w:type="dxa" w:w="2160"/>
          </w:tcPr>
          <w:p>
            <w:r>
              <w:t>attractor mass</w:t>
            </w:r>
          </w:p>
        </w:tc>
      </w:tr>
      <w:tr>
        <w:tc>
          <w:tcPr>
            <w:tcW w:type="dxa" w:w="2160"/>
          </w:tcPr>
          <w:p>
            <w:r>
              <w:t>Tokyo Taxi Center monitor survey</w:t>
            </w:r>
          </w:p>
        </w:tc>
        <w:tc>
          <w:tcPr>
            <w:tcW w:type="dxa" w:w="2160"/>
          </w:tcPr>
          <w:p>
            <w:r>
              <w:t>Tokyo Taxi Center</w:t>
            </w:r>
          </w:p>
        </w:tc>
        <w:tc>
          <w:tcPr>
            <w:tcW w:type="dxa" w:w="2160"/>
          </w:tcPr>
          <w:p>
            <w:r>
              <w:t>FY2023, n=2,662</w:t>
            </w:r>
          </w:p>
        </w:tc>
        <w:tc>
          <w:tcPr>
            <w:tcW w:type="dxa" w:w="2160"/>
          </w:tcPr>
          <w:p>
            <w:r>
              <w:t>temporal profile</w:t>
            </w:r>
          </w:p>
        </w:tc>
      </w:tr>
      <w:tr>
        <w:tc>
          <w:tcPr>
            <w:tcW w:type="dxa" w:w="2160"/>
          </w:tcPr>
          <w:p>
            <w:r>
              <w:t>THTA yearbook 2025</w:t>
            </w:r>
          </w:p>
        </w:tc>
        <w:tc>
          <w:tcPr>
            <w:tcW w:type="dxa" w:w="2160"/>
          </w:tcPr>
          <w:p>
            <w:r>
              <w:t>THTA</w:t>
            </w:r>
          </w:p>
        </w:tc>
        <w:tc>
          <w:tcPr>
            <w:tcW w:type="dxa" w:w="2160"/>
          </w:tcPr>
          <w:p>
            <w:r>
              <w:t>FY2024</w:t>
            </w:r>
          </w:p>
        </w:tc>
        <w:tc>
          <w:tcPr>
            <w:tcW w:type="dxa" w:w="2160"/>
          </w:tcPr>
          <w:p>
            <w:r>
              <w:t>background</w:t>
            </w:r>
          </w:p>
        </w:tc>
      </w:tr>
    </w:tbl>
    <w:p>
      <w:pPr>
        <w:pStyle w:val="Heading1"/>
      </w:pPr>
      <w:r>
        <w:t>Table 2. Relocation outcomes by radius (combined specification)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Radius m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improved</w:t>
            </w:r>
          </w:p>
        </w:tc>
        <w:tc>
          <w:tcPr>
            <w:tcW w:type="dxa" w:w="1234"/>
          </w:tcPr>
          <w:p>
            <w:r>
              <w:t>&gt;0.1 SD</w:t>
            </w:r>
          </w:p>
        </w:tc>
        <w:tc>
          <w:tcPr>
            <w:tcW w:type="dxa" w:w="1234"/>
          </w:tcPr>
          <w:p>
            <w:r>
              <w:t>mean gain (SD)</w:t>
            </w:r>
          </w:p>
        </w:tc>
        <w:tc>
          <w:tcPr>
            <w:tcW w:type="dxa" w:w="1234"/>
          </w:tcPr>
          <w:p>
            <w:r>
              <w:t>beats nearest major</w:t>
            </w:r>
          </w:p>
        </w:tc>
        <w:tc>
          <w:tcPr>
            <w:tcW w:type="dxa" w:w="1234"/>
          </w:tcPr>
          <w:p>
            <w:r>
              <w:t>median walk m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19610</w:t>
            </w:r>
          </w:p>
        </w:tc>
        <w:tc>
          <w:tcPr>
            <w:tcW w:type="dxa" w:w="1234"/>
          </w:tcPr>
          <w:p>
            <w:r>
              <w:t>83%</w:t>
            </w:r>
          </w:p>
        </w:tc>
        <w:tc>
          <w:tcPr>
            <w:tcW w:type="dxa" w:w="1234"/>
          </w:tcPr>
          <w:p>
            <w:r>
              <w:t>68%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61.4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19890</w:t>
            </w:r>
          </w:p>
        </w:tc>
        <w:tc>
          <w:tcPr>
            <w:tcW w:type="dxa" w:w="1234"/>
          </w:tcPr>
          <w:p>
            <w:r>
              <w:t>96%</w:t>
            </w:r>
          </w:p>
        </w:tc>
        <w:tc>
          <w:tcPr>
            <w:tcW w:type="dxa" w:w="1234"/>
          </w:tcPr>
          <w:p>
            <w:r>
              <w:t>90%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73%</w:t>
            </w:r>
          </w:p>
        </w:tc>
        <w:tc>
          <w:tcPr>
            <w:tcW w:type="dxa" w:w="1234"/>
          </w:tcPr>
          <w:p>
            <w:r>
              <w:t>146.4</w:t>
            </w:r>
          </w:p>
        </w:tc>
      </w:tr>
      <w:tr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19970</w:t>
            </w:r>
          </w:p>
        </w:tc>
        <w:tc>
          <w:tcPr>
            <w:tcW w:type="dxa" w:w="1234"/>
          </w:tcPr>
          <w:p>
            <w:r>
              <w:t>98%</w:t>
            </w:r>
          </w:p>
        </w:tc>
        <w:tc>
          <w:tcPr>
            <w:tcW w:type="dxa" w:w="1234"/>
          </w:tcPr>
          <w:p>
            <w:r>
              <w:t>96%</w:t>
            </w:r>
          </w:p>
        </w:tc>
        <w:tc>
          <w:tcPr>
            <w:tcW w:type="dxa" w:w="1234"/>
          </w:tcPr>
          <w:p>
            <w:r>
              <w:t>1.68</w:t>
            </w:r>
          </w:p>
        </w:tc>
        <w:tc>
          <w:tcPr>
            <w:tcW w:type="dxa" w:w="1234"/>
          </w:tcPr>
          <w:p>
            <w:r>
              <w:t>80%</w:t>
            </w:r>
          </w:p>
        </w:tc>
        <w:tc>
          <w:tcPr>
            <w:tcW w:type="dxa" w:w="1234"/>
          </w:tcPr>
          <w:p>
            <w:r>
              <w:t>233.8</w:t>
            </w:r>
          </w:p>
        </w:tc>
      </w:tr>
      <w:tr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19990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99%</w:t>
            </w:r>
          </w:p>
        </w:tc>
        <w:tc>
          <w:tcPr>
            <w:tcW w:type="dxa" w:w="1234"/>
          </w:tcPr>
          <w:p>
            <w:r>
              <w:t>2.12</w:t>
            </w:r>
          </w:p>
        </w:tc>
        <w:tc>
          <w:tcPr>
            <w:tcW w:type="dxa" w:w="1234"/>
          </w:tcPr>
          <w:p>
            <w:r>
              <w:t>88%</w:t>
            </w:r>
          </w:p>
        </w:tc>
        <w:tc>
          <w:tcPr>
            <w:tcW w:type="dxa" w:w="1234"/>
          </w:tcPr>
          <w:p>
            <w:r>
              <w:t>407.2</w:t>
            </w:r>
          </w:p>
        </w:tc>
      </w:tr>
    </w:tbl>
    <w:p>
      <w:pPr>
        <w:pStyle w:val="Heading1"/>
      </w:pPr>
      <w:r>
        <w:t>Table 3. Ablation summary (300 m radius)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improved</w:t>
            </w:r>
          </w:p>
        </w:tc>
        <w:tc>
          <w:tcPr>
            <w:tcW w:type="dxa" w:w="1440"/>
          </w:tcPr>
          <w:p>
            <w:r>
              <w:t>&gt;0.1 SD</w:t>
            </w:r>
          </w:p>
        </w:tc>
        <w:tc>
          <w:tcPr>
            <w:tcW w:type="dxa" w:w="1440"/>
          </w:tcPr>
          <w:p>
            <w:r>
              <w:t>beats nearest major</w:t>
            </w:r>
          </w:p>
        </w:tc>
        <w:tc>
          <w:tcPr>
            <w:tcW w:type="dxa" w:w="1440"/>
          </w:tcPr>
          <w:p>
            <w:r>
              <w:t>beats random</w:t>
            </w:r>
          </w:p>
        </w:tc>
        <w:tc>
          <w:tcPr>
            <w:tcW w:type="dxa" w:w="1440"/>
          </w:tcPr>
          <w:p>
            <w:r>
              <w:t>best is major road</w:t>
            </w:r>
          </w:p>
        </w:tc>
      </w:tr>
      <w:tr>
        <w:tc>
          <w:tcPr>
            <w:tcW w:type="dxa" w:w="1440"/>
          </w:tcPr>
          <w:p>
            <w:r>
              <w:t>Attractor-only</w:t>
            </w:r>
          </w:p>
        </w:tc>
        <w:tc>
          <w:tcPr>
            <w:tcW w:type="dxa" w:w="1440"/>
          </w:tcPr>
          <w:p>
            <w:r>
              <w:t>99%</w:t>
            </w:r>
          </w:p>
        </w:tc>
        <w:tc>
          <w:tcPr>
            <w:tcW w:type="dxa" w:w="1440"/>
          </w:tcPr>
          <w:p>
            <w:r>
              <w:t>91%</w:t>
            </w:r>
          </w:p>
        </w:tc>
        <w:tc>
          <w:tcPr>
            <w:tcW w:type="dxa" w:w="1440"/>
          </w:tcPr>
          <w:p>
            <w:r>
              <w:t>99%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11%</w:t>
            </w:r>
          </w:p>
        </w:tc>
      </w:tr>
      <w:tr>
        <w:tc>
          <w:tcPr>
            <w:tcW w:type="dxa" w:w="1440"/>
          </w:tcPr>
          <w:p>
            <w:r>
              <w:t>Combined</w:t>
            </w:r>
          </w:p>
        </w:tc>
        <w:tc>
          <w:tcPr>
            <w:tcW w:type="dxa" w:w="1440"/>
          </w:tcPr>
          <w:p>
            <w:r>
              <w:t>98%</w:t>
            </w:r>
          </w:p>
        </w:tc>
        <w:tc>
          <w:tcPr>
            <w:tcW w:type="dxa" w:w="1440"/>
          </w:tcPr>
          <w:p>
            <w:r>
              <w:t>96%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56%</w:t>
            </w:r>
          </w:p>
        </w:tc>
      </w:tr>
      <w:tr>
        <w:tc>
          <w:tcPr>
            <w:tcW w:type="dxa" w:w="1440"/>
          </w:tcPr>
          <w:p>
            <w:r>
              <w:t>Circulation proxy</w:t>
            </w:r>
          </w:p>
        </w:tc>
        <w:tc>
          <w:tcPr>
            <w:tcW w:type="dxa" w:w="1440"/>
          </w:tcPr>
          <w:p>
            <w:r>
              <w:t>98%</w:t>
            </w:r>
          </w:p>
        </w:tc>
        <w:tc>
          <w:tcPr>
            <w:tcW w:type="dxa" w:w="1440"/>
          </w:tcPr>
          <w:p>
            <w:r>
              <w:t>92%</w:t>
            </w:r>
          </w:p>
        </w:tc>
        <w:tc>
          <w:tcPr>
            <w:tcW w:type="dxa" w:w="1440"/>
          </w:tcPr>
          <w:p>
            <w:r>
              <w:t>82%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56%</w:t>
            </w:r>
          </w:p>
        </w:tc>
      </w:tr>
      <w:tr>
        <w:tc>
          <w:tcPr>
            <w:tcW w:type="dxa" w:w="1440"/>
          </w:tcPr>
          <w:p>
            <w:r>
              <w:t>Road-only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66%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