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Self-optimized urban proxies can yield large apparent local gains</w:t>
      </w:r>
    </w:p>
    <w:p>
      <w:pPr>
        <w:pStyle w:val="ListBullet"/>
      </w:pPr>
      <w:r>
        <w:t>Cross-specification transfer can reveal weakly transferable structure</w:t>
      </w:r>
    </w:p>
    <w:p>
      <w:pPr>
        <w:pStyle w:val="ListBullet"/>
      </w:pPr>
      <w:r>
        <w:t>Spatial permutation quantifies gains caused by generic heterogeneity</w:t>
      </w:r>
    </w:p>
    <w:p>
      <w:pPr>
        <w:pStyle w:val="ListBullet"/>
      </w:pPr>
      <w:r>
        <w:t>Internal stress tests help audit urban proxies without outcome labels</w:t>
      </w:r>
    </w:p>
    <w:p>
      <w:pPr>
        <w:pStyle w:val="ListBullet"/>
      </w:pPr>
      <w:r>
        <w:t>Street-hail relocation shows the framework without fleet telemetry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