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cs="Times New Roman" w:eastAsia="Times New Roman"/>
          <w:color w:val="000000"/>
          <w:sz w:val="36"/>
          <w:szCs w:val="36"/>
        </w:rPr>
        <w:t>Supplementary Material</w:t>
      </w:r>
    </w:p>
    <w:p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Supplement to: Service-Time Distributional Uncertainty in Outpatient Scheduling: When Simple Interval Optimization Is Enough</w:t>
      </w:r>
    </w:p>
    <w:p>
      <w:pPr>
        <w:pStyle w:val="Heading1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S1. Full performance table</w:t>
      </w:r>
    </w:p>
    <w:p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policy_performance.csv contains 82 rows: 10 service-time specs x 9 policies, evaluated on 100,000 sessions each (fresh draws).</w:t>
      </w:r>
    </w:p>
    <w:p>
      <w:pPr>
        <w:pStyle w:val="Heading1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S2. Delay cascade</w:t>
      </w:r>
    </w:p>
    <w:p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 single 45-min consultation injected at successive positions; cascade length = downstream appointments with </w:t>
      </w:r>
      <m:oMath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&gt;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1</m:t>
        </m:r>
      </m:oMath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min added waiting (Figure 6).</w:t>
      </w:r>
    </w:p>
    <w:p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drawing>
          <wp:inline xmlns:a="http://schemas.openxmlformats.org/drawingml/2006/main" xmlns:pic="http://schemas.openxmlformats.org/drawingml/2006/picture">
            <wp:extent cx="4572000" cy="269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asc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9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 w:eastAsia="Times New Roman"/>
          <w:b/>
          <w:sz w:val="20"/>
          <w:color w:val="000000"/>
          <w:szCs w:val="20"/>
        </w:rPr>
        <w:t xml:space="preserve">Figure 6. </w:t>
      </w:r>
      <w:r>
        <w:rPr>
          <w:rFonts w:ascii="Times New Roman" w:hAnsi="Times New Roman" w:cs="Times New Roman" w:eastAsia="Times New Roman"/>
          <w:sz w:val="20"/>
          <w:color w:val="000000"/>
          <w:szCs w:val="20"/>
        </w:rPr>
        <w:t>Delay cascade from a single injected 45-min consultation.</w:t>
      </w:r>
    </w:p>
    <w:p>
      <w:pPr>
        <w:pStyle w:val="Heading1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S3. Estimation uncertainty</w:t>
      </w:r>
    </w:p>
    <w:p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Moment-fitted gamma design vs historical sample size </w:t>
      </w:r>
      <m:oMath>
        <m:r>
          <m:rPr>
            <m:sty m:val="i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n</m:t>
        </m:r>
      </m:oMath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; </w:t>
      </w:r>
      <m:oMath>
        <m:sSub>
          <m:e>
            <m:r>
              <m:rPr>
                <m:sty m:val="i"/>
              </m:rP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</w:rPr>
              <m:t>90</m:t>
            </m:r>
          </m:sub>
        </m:sSub>
      </m:oMath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regret over 400 replications per cell (Figure S1).</w:t>
      </w:r>
    </w:p>
    <w:p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drawing>
          <wp:inline xmlns:a="http://schemas.openxmlformats.org/drawingml/2006/main" xmlns:pic="http://schemas.openxmlformats.org/drawingml/2006/picture">
            <wp:extent cx="5029200" cy="2917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stim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7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 w:eastAsia="Times New Roman"/>
          <w:b/>
          <w:sz w:val="20"/>
          <w:color w:val="000000"/>
          <w:szCs w:val="20"/>
        </w:rPr>
        <w:t xml:space="preserve">Figure S1. </w:t>
      </w:r>
      <w:r>
        <w:rPr>
          <w:rFonts w:ascii="Times New Roman" w:hAnsi="Times New Roman" w:cs="Times New Roman" w:eastAsia="Times New Roman"/>
          <w:sz w:val="20"/>
          <w:color w:val="000000"/>
          <w:szCs w:val="20"/>
        </w:rPr>
        <w:t xml:space="preserve">Moment-fitted gamma design regret vs historical sample size </w:t>
      </w:r>
      <m:oMath>
        <m:r>
          <m:rPr>
            <m:sty m:val="i"/>
          </m:rPr>
          <w:rPr>
            <w:rFonts w:ascii="Times New Roman" w:hAnsi="Times New Roman" w:cs="Times New Roman" w:eastAsia="Times New Roman"/>
            <w:color w:val="000000"/>
            <w:sz w:val="20"/>
            <w:szCs w:val="20"/>
          </w:rPr>
          <m:t>n</m:t>
        </m:r>
      </m:oMath>
      <w:r>
        <w:rPr>
          <w:rFonts w:ascii="Times New Roman" w:hAnsi="Times New Roman" w:cs="Times New Roman" w:eastAsia="Times New Roman"/>
          <w:sz w:val="20"/>
          <w:color w:val="000000"/>
          <w:szCs w:val="20"/>
        </w:rPr>
        <w:t>.</w:t>
      </w:r>
    </w:p>
    <w:p>
      <w:pPr>
        <w:pStyle w:val="Heading1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S4. Operational robustness</w:t>
      </w:r>
    </w:p>
    <w:p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Fixed vs tail-aware designs under no-shows (</w:t>
      </w:r>
      <m:oMath>
        <m:r>
          <m:rPr>
            <m:sty m:val="i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p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∈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{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0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,</m:t>
        </m:r>
        <m:r>
          <m:rPr>
            <m:sty m:val="i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.05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,</m:t>
        </m:r>
        <m:r>
          <m:rPr>
            <m:sty m:val="i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.10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,</m:t>
        </m:r>
        <m:r>
          <m:rPr>
            <m:sty m:val="i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.20</m:t>
        </m:r>
        <m:r>
          <m:rPr>
            <m:sty m:val="p"/>
          </m:rPr>
          <w:rPr>
            <w:rFonts w:ascii="Times New Roman" w:hAnsi="Times New Roman" w:cs="Times New Roman" w:eastAsia="Times New Roman"/>
            <w:color w:val="000000"/>
            <w:sz w:val="24"/>
            <w:szCs w:val="24"/>
          </w:rPr>
          <m:t>}</m:t>
        </m:r>
      </m:oMath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>) and arrival jitter (sd 0 or 2 min). See operational_robustness.csv.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 w:cs="Times New Roman" w:eastAsia="Times New Roman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 w:cs="Times New Roman" w:eastAsia="Times New Roman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 w:cs="Times New Roman" w:eastAsia="Times New Roman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 w:cs="Times New Roman" w:eastAsia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4"/>
        <w:szCs w:val="24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Times New Roman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Times New Roman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000000"/>
      <w:spacing w:val="5"/>
      <w:kern w:val="28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Times New Roman"/>
      <w:color w:val="000000"/>
      <w:spacing w:val="5"/>
      <w:kern w:val="28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Times New Roman"/>
      <w:sz w:val="24"/>
      <w:szCs w:val="24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Times New Roman"/>
      <w:sz w:val="24"/>
      <w:szCs w:val="24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Times New Roman"/>
      <w:sz w:val="24"/>
      <w:szCs w:val="24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Times New Roman"/>
      <w:sz w:val="24"/>
      <w:szCs w:val="24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Times New Roman"/>
      <w:smallCaps/>
      <w:color w:val="000000"/>
      <w:u w:val="single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Times New Roman"/>
      <w:b/>
      <w:bCs/>
      <w:smallCaps/>
      <w:color w:val="000000"/>
      <w:spacing w:val="5"/>
      <w:u w:val="single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Times New Roman"/>
      <w:b/>
      <w:bCs/>
      <w:smallCaps/>
      <w:spacing w:val="5"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6E6E6" w:themeFill="text1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DF2F8" w:themeFill="accent1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8EDED" w:themeFill="accent2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5F8EE" w:themeFill="accent3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2EFF6" w:themeFill="accent4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DF6F9" w:themeFill="accent5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EF4EC" w:themeFill="accent6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999999" w:themeFill="text1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999999" w:themeFill="text1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000000" w:themeFill="text1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8CCE4" w:themeFill="accent1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8CCE4" w:themeFill="accent1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65F91" w:themeFill="accent1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5B8B7" w:themeFill="accent2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5B8B7" w:themeFill="accent2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943634" w:themeFill="accent2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D6E3BC" w:themeFill="accent3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D6E3BC" w:themeFill="accent3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76923C" w:themeFill="accent3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CCC0D9" w:themeFill="accent4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CCC0D9" w:themeFill="accent4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5F497A" w:themeFill="accent4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6DDE8" w:themeFill="accent5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6DDE8" w:themeFill="accent5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1849B" w:themeFill="accent5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BD4B4" w:themeFill="accent6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BD4B4" w:themeFill="accent6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E36C0A" w:themeFill="accent6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Times New Roman"/>
        <w:sz w:val="24"/>
        <w:szCs w:val="24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000000"/>
      <w:spacing w:val="5"/>
      <w:kern w:val="28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Times New Roman"/>
      <w:color w:val="000000"/>
      <w:spacing w:val="5"/>
      <w:kern w:val="28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Times New Roman"/>
      <w:sz w:val="24"/>
      <w:szCs w:val="24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Times New Roman"/>
      <w:sz w:val="24"/>
      <w:szCs w:val="24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Times New Roman"/>
      <w:sz w:val="24"/>
      <w:szCs w:val="24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Times New Roman"/>
      <w:sz w:val="24"/>
      <w:szCs w:val="24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Times New Roman"/>
      <w:smallCaps/>
      <w:color w:val="000000"/>
      <w:u w:val="single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Times New Roman"/>
      <w:b/>
      <w:bCs/>
      <w:smallCaps/>
      <w:color w:val="000000"/>
      <w:spacing w:val="5"/>
      <w:u w:val="single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Times New Roman"/>
      <w:b/>
      <w:bCs/>
      <w:smallCaps/>
      <w:spacing w:val="5"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6E6E6" w:themeFill="text1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DF2F8" w:themeFill="accent1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8EDED" w:themeFill="accent2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5F8EE" w:themeFill="accent3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2EFF6" w:themeFill="accent4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DF6F9" w:themeFill="accent5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EF4EC" w:themeFill="accent6" w:themeFillTint="19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Times New Roman" w:hAnsi="Times New Roman" w:cs="Times New Roman" w:eastAsia="Times New Roman"/>
        <w:b w:val="0"/>
        <w:bCs w:val="0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Times New Roman" w:hAnsi="Times New Roman" w:cs="Times New Roman" w:eastAsia="Times New Roman"/>
        <w:b/>
        <w:bCs/>
        <w:i w:val="0"/>
        <w:iCs w:val="0"/>
        <w:color w:val="000000"/>
        <w:sz w:val="24"/>
        <w:szCs w:val="24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Times New Roman" w:hAnsi="Times New Roman" w:cs="Times New Roman" w:eastAsia="Times New Roman"/>
        <w:color w:val="000000"/>
        <w:sz w:val="24"/>
        <w:szCs w:val="24"/>
      </w:rPr>
    </w:tblStylePr>
    <w:tblStylePr w:type="nwCell">
      <w:rPr>
        <w:rFonts w:ascii="Times New Roman" w:hAnsi="Times New Roman" w:cs="Times New Roman" w:eastAsia="Times New Roman"/>
        <w:color w:val="000000"/>
        <w:sz w:val="24"/>
        <w:szCs w:val="24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lastCol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999999" w:themeFill="text1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999999" w:themeFill="text1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000000" w:themeFill="text1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8CCE4" w:themeFill="accent1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8CCE4" w:themeFill="accent1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65F91" w:themeFill="accent1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5B8B7" w:themeFill="accent2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E5B8B7" w:themeFill="accent2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943634" w:themeFill="accent2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D6E3BC" w:themeFill="accent3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D6E3BC" w:themeFill="accent3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76923C" w:themeFill="accent3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CCC0D9" w:themeFill="accent4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CCC0D9" w:themeFill="accent4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5F497A" w:themeFill="accent4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6DDE8" w:themeFill="accent5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B6DDE8" w:themeFill="accent5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1849B" w:themeFill="accent5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BD4B4" w:themeFill="accent6" w:themeFillTint="66"/>
      </w:tcPr>
    </w:tblStylePr>
    <w:tblStylePr w:type="lastRow">
      <w:rPr>
        <w:rFonts w:ascii="Times New Roman" w:hAnsi="Times New Roman" w:cs="Times New Roman" w:eastAsia="Times New Roman"/>
        <w:b/>
        <w:bCs/>
        <w:color w:val="000000"/>
        <w:sz w:val="24"/>
        <w:szCs w:val="24"/>
      </w:rPr>
      <w:tblPr/>
      <w:tcPr>
        <w:shd w:val="clear" w:color="auto" w:fill="FBD4B4" w:themeFill="accent6" w:themeFillTint="66"/>
      </w:tcPr>
    </w:tblStylePr>
    <w:tblStylePr w:type="fir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E36C0A" w:themeFill="accent6" w:themeFillShade="BF"/>
      </w:tcPr>
    </w:tblStylePr>
    <w:tblStylePr w:type="lastCol">
      <w:rPr>
        <w:rFonts w:ascii="Times New Roman" w:hAnsi="Times New Roman" w:cs="Times New Roman" w:eastAsia="Times New Roman"/>
        <w:color w:val="000000"/>
        <w:sz w:val="24"/>
        <w:szCs w:val="24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</a:majorFont>
      <a:minorFont>
        <a:latin typeface="Times New Roman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