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Appointment-Scheduling Complexity Pay? Service-Time Uncertainty and the Value of Simple Planning Rules</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commit session capacity before demand is realized, typically dividing session length by mean consultation time — yet consultation durations are right-skewed and their upper tails vary across clinics. We ask when fixed, mean-based slots fail under service-time distributional uncertainty, and how much scheduling sophistication is worth buying. Using a finite-horizon Lindley-type delay recursion evaluated by large-scale Monte Carlo simulation, we hold the mean fixed and vary only family and tail shape across gamma, Weibull, lognormal, mixture, and Pareto-type designs. Fixed slots incur 36.7%–71.3% relative regret versus an optimized benchmark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 mean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rising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 single SAA-optimized uniform interval recovers nearly all attainable benefit (maximum regret 1.4% versus oracle): ten of twenty-nine interval parameters capture 91–97% of the residual gap, concentrated in boundary positions. Misspecifying the family can erase these gains — under-designing costs about three times over-designing — and under a genuinely heavy-tailed truth, moment-fitted designs remain unreliable even at 1,000 historical observations. Constructed counterexamples mark where complexity pays: nonstationarity, structured heterogeneity, dominant overtime cost. For service planners the output is a decision rule — how much scheduling complexity to buy, and which distributional measurements justify it — rather than a new algorithm.</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service planning;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tools in this journal's service-planning literature [9, 10], and slot-structure design for clinical scheduling under patient variability has itself been studied here [11], alongside stochastic planning of elective-care capacity [12]. Distributionally robust and conic designs hedge against limited distributional information [13, 14], and asymptotic theory shows constant or critical-load schedules to be optimal in fluid and diffusion limits [15, 16]. What finite sessions gain beyond a single optimized scalar interval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shows the nonuniform benefit concentrates in a few boundary degrees of freedom;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of the 29 adjustable parameters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asymptotic optimality of constant policies [15, 16] by quantifying finite-session regret — with overtime included — the marginal value of added schedule complexity, and the boundary positions where that value concentrates. Within this journal, slot-structure design for clinical scheduling [11], simulation-based healthcare planning [9, 10, 12], and patient-flow studies linking accumulated delay to provider burden [34] form the service-planning conversation that our complexity analysis extends: the planning question is not only which interval to use but how much scheduling complexity is worth buying.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 and lateness-aware designs [35]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35-37].</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Shoaib M, Mustafee N, Madan K, Ramamohan V. Leveraging multi-tier healthcare facility network simulations for capacity planning in a pandemic. Socio-Economic Planning Sciences 2023;88:101660. https://doi.org/10.1016/j.seps.2023.101660.</w:t>
      </w:r>
    </w:p>
    <w:p>
      <w:r>
        <w:rPr>
          <w:rFonts w:ascii="Times New Roman" w:hAnsi="Times New Roman" w:cs="Times New Roman" w:eastAsia="Times New Roman"/>
          <w:color w:val="000000"/>
          <w:sz w:val="24"/>
          <w:szCs w:val="24"/>
        </w:rPr>
        <w:t>[10] Alaouchiche Y, Ouazene Y, Yalaoui F, Chehade H. Workload balancing for the nurse scheduling problem: A real-world case study from a French hospital. Socio-Economic Planning Sciences 2024;95:102046. https://doi.org/10.1016/j.seps.2024.102046.</w:t>
      </w:r>
    </w:p>
    <w:p>
      <w:r>
        <w:rPr>
          <w:rFonts w:ascii="Times New Roman" w:hAnsi="Times New Roman" w:cs="Times New Roman" w:eastAsia="Times New Roman"/>
          <w:color w:val="000000"/>
          <w:sz w:val="24"/>
          <w:szCs w:val="24"/>
        </w:rPr>
        <w:t>[11] Chakraborty S, Muthuraman K, Lawley M. Sequential clinical scheduling with patient no-show: The impact of pre-defined slot structures. Socio-Economic Planning Sciences 2013;47(3):205-219. https://doi.org/10.1016/j.seps.2012.11.003.</w:t>
      </w:r>
    </w:p>
    <w:p>
      <w:r>
        <w:rPr>
          <w:rFonts w:ascii="Times New Roman" w:hAnsi="Times New Roman" w:cs="Times New Roman" w:eastAsia="Times New Roman"/>
          <w:color w:val="000000"/>
          <w:sz w:val="24"/>
          <w:szCs w:val="24"/>
        </w:rPr>
        <w:t>[12] Acuna JA, Cantarino D, Martinez R, Zayas-Castro JL. A two-stage stochastic game model for elective surgical capacity planning and investment. Socio-Economic Planning Sciences 2024;91:101786. https://doi.org/10.1016/j.seps.2023.101786.</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Cildoz M, Ibarra A, Mallor F. Coping with stress in emergency department physicians through improved patient-flow management. Socio-Economic Planning Sciences 2020;71:100828. https://doi.org/10.1016/j.seps.2020.100828.</w:t>
      </w:r>
    </w:p>
    <w:p>
      <w:r>
        <w:rPr>
          <w:rFonts w:ascii="Times New Roman" w:hAnsi="Times New Roman" w:cs="Times New Roman" w:eastAsia="Times New Roman"/>
          <w:color w:val="000000"/>
          <w:sz w:val="24"/>
          <w:szCs w:val="24"/>
        </w:rPr>
        <w:t>[35]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[36]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[37]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