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submit</w:t>
      </w:r>
      <w:r>
        <w:t xml:space="preserve"> </w:t>
      </w:r>
      <w:r>
        <w:t xml:space="preserve">“</w:t>
      </w:r>
      <w:r>
        <w:t xml:space="preserve">When Does Appointment-Scheduling Complexity Pay? Service-Time</w:t>
      </w:r>
      <w:r>
        <w:t xml:space="preserve"> </w:t>
      </w:r>
      <w:r>
        <w:t xml:space="preserve">Uncertainty and the Value of Simple Planning Rules</w:t>
      </w:r>
      <w:r>
        <w:t xml:space="preserve">”</w:t>
      </w:r>
      <w:r>
        <w:t xml:space="preserve"> </w:t>
      </w:r>
      <w:r>
        <w:t xml:space="preserve">for consideration in</w:t>
      </w:r>
      <w:r>
        <w:t xml:space="preserve"> </w:t>
      </w:r>
      <w:r>
        <w:t xml:space="preserve">Socio-Economic Planning Sciences.</w:t>
      </w:r>
    </w:p>
    <w:p>
      <w:pPr>
        <w:pStyle w:val="BodyText"/>
      </w:pPr>
      <w:r>
        <w:t xml:space="preserve">Clinics face a recurring service-planning problem: appointment intervals</w:t>
      </w:r>
      <w:r>
        <w:t xml:space="preserve"> </w:t>
      </w:r>
      <w:r>
        <w:t xml:space="preserve">must be committed before demand is realized, and consultation durations</w:t>
      </w:r>
      <w:r>
        <w:t xml:space="preserve"> </w:t>
      </w:r>
      <w:r>
        <w:t xml:space="preserve">are strongly right-skewed. The practical question is not whether to</w:t>
      </w:r>
      <w:r>
        <w:t xml:space="preserve"> </w:t>
      </w:r>
      <w:r>
        <w:t xml:space="preserve">schedule — every clinic already does — but how much scheduling</w:t>
      </w:r>
      <w:r>
        <w:t xml:space="preserve"> </w:t>
      </w:r>
      <w:r>
        <w:rPr>
          <w:iCs/>
          <w:i/>
        </w:rPr>
        <w:t xml:space="preserve">sophistication</w:t>
      </w:r>
      <w:r>
        <w:t xml:space="preserve"> </w:t>
      </w:r>
      <w:r>
        <w:t xml:space="preserve">to buy: is a single well-chosen common interval enough,</w:t>
      </w:r>
      <w:r>
        <w:t xml:space="preserve"> </w:t>
      </w:r>
      <w:r>
        <w:t xml:space="preserve">or do slot-by-slot, risk-aware, or distributionally robust designs earn</w:t>
      </w:r>
      <w:r>
        <w:t xml:space="preserve"> </w:t>
      </w:r>
      <w:r>
        <w:t xml:space="preserve">their complexity? This paper answers that question with quantitative</w:t>
      </w:r>
      <w:r>
        <w:t xml:space="preserve"> </w:t>
      </w:r>
      <w:r>
        <w:t xml:space="preserve">planning evidence. Holding the mean service time fixed, I vary only the</w:t>
      </w:r>
      <w:r>
        <w:t xml:space="preserve"> </w:t>
      </w:r>
      <w:r>
        <w:t xml:space="preserve">distributional family and tail shape across ten specifications (gamma,</w:t>
      </w:r>
      <w:r>
        <w:t xml:space="preserve"> </w:t>
      </w:r>
      <w:r>
        <w:t xml:space="preserve">Weibull, lognormal, mixture, Pareto-type) and session sizes, using a</w:t>
      </w:r>
      <w:r>
        <w:t xml:space="preserve"> </w:t>
      </w:r>
      <w:r>
        <w:t xml:space="preserve">finite-horizon Lindley-type delay recursion evaluated by large-scale</w:t>
      </w:r>
      <w:r>
        <w:t xml:space="preserve"> </w:t>
      </w:r>
      <w:r>
        <w:t xml:space="preserve">Monte Carlo simulation with common random numbers.</w:t>
      </w:r>
    </w:p>
    <w:p>
      <w:pPr>
        <w:pStyle w:val="BodyText"/>
      </w:pPr>
      <w:r>
        <w:t xml:space="preserve">The results are directly usable as planning rules. Fixed mean-based</w:t>
      </w:r>
      <w:r>
        <w:t xml:space="preserve"> </w:t>
      </w:r>
      <w:r>
        <w:t xml:space="preserve">slots — the dominant heuristic — leave 36.7–71.3% of attainable savings</w:t>
      </w:r>
      <w:r>
        <w:t xml:space="preserve"> </w:t>
      </w:r>
      <w:r>
        <w:t xml:space="preserve">unrealized at session size N = 30 across the ten specifications. Yet a</w:t>
      </w:r>
      <w:r>
        <w:t xml:space="preserve"> </w:t>
      </w:r>
      <w:r>
        <w:t xml:space="preserve">single SAA-optimized uniform interval recovers nearly all attainable</w:t>
      </w:r>
      <w:r>
        <w:t xml:space="preserve"> </w:t>
      </w:r>
      <w:r>
        <w:t xml:space="preserve">benefit (maximum relative regret 1.4% versus a nonuniform oracle in the</w:t>
      </w:r>
      <w:r>
        <w:t xml:space="preserve"> </w:t>
      </w:r>
      <w:r>
        <w:t xml:space="preserve">studied domain): the planning priority is calibrating one number against</w:t>
      </w:r>
      <w:r>
        <w:t xml:space="preserve"> </w:t>
      </w:r>
      <w:r>
        <w:t xml:space="preserve">a well-estimated service-time distribution, not deploying individualized</w:t>
      </w:r>
      <w:r>
        <w:t xml:space="preserve"> </w:t>
      </w:r>
      <w:r>
        <w:t xml:space="preserve">machinery. A complexity frontier over block-structured interval vectors</w:t>
      </w:r>
      <w:r>
        <w:t xml:space="preserve"> </w:t>
      </w:r>
      <w:r>
        <w:t xml:space="preserve">shows that ten contiguous blocks over the twenty-nine interval positions capture 91–97% of the</w:t>
      </w:r>
      <w:r>
        <w:t xml:space="preserve"> </w:t>
      </w:r>
      <w:r>
        <w:t xml:space="preserve">uniform-to-full gap, and that the residual value concentrates in a few</w:t>
      </w:r>
      <w:r>
        <w:t xml:space="preserve"> </w:t>
      </w:r>
      <w:r>
        <w:t xml:space="preserve">boundary positions (first/last three slots close 85–95% of the gap versus</w:t>
      </w:r>
      <w:r>
        <w:t xml:space="preserve"> </w:t>
      </w:r>
      <w:r>
        <w:t xml:space="preserve">3–9% for interior positions). Deliberately constructed counterexamples —</w:t>
      </w:r>
      <w:r>
        <w:t xml:space="preserve"> </w:t>
      </w:r>
      <w:r>
        <w:t xml:space="preserve">nonstationary service means (27% regret), known heterogeneous bookings</w:t>
      </w:r>
      <w:r>
        <w:t xml:space="preserve"> </w:t>
      </w:r>
      <w:r>
        <w:t xml:space="preserve">(32%), and high overtime pricing (4%) — mark the bounded conditions where</w:t>
      </w:r>
      <w:r>
        <w:t xml:space="preserve"> </w:t>
      </w:r>
      <w:r>
        <w:t xml:space="preserve">richer designs genuinely pay. A misspecification study shows the risk</w:t>
      </w:r>
      <w:r>
        <w:t xml:space="preserve"> </w:t>
      </w:r>
      <w:r>
        <w:t xml:space="preserve">cuts the other way too: optimizing under a wrongly assumed family can</w:t>
      </w:r>
      <w:r>
        <w:t xml:space="preserve"> </w:t>
      </w:r>
      <w:r>
        <w:t xml:space="preserve">erase the gains entirely, with under-designed intervals costing about</w:t>
      </w:r>
      <w:r>
        <w:t xml:space="preserve"> </w:t>
      </w:r>
      <w:r>
        <w:t xml:space="preserve">three times as much as over-designed ones, and moment-fitted designs</w:t>
      </w:r>
      <w:r>
        <w:t xml:space="preserve"> </w:t>
      </w:r>
      <w:r>
        <w:t xml:space="preserve">remaining unreliable even at 1,000 historical observations when the true</w:t>
      </w:r>
      <w:r>
        <w:t xml:space="preserve"> </w:t>
      </w:r>
      <w:r>
        <w:t xml:space="preserve">family is heavy-tailed.</w:t>
      </w:r>
    </w:p>
    <w:p>
      <w:pPr>
        <w:pStyle w:val="BodyText"/>
      </w:pPr>
      <w:r>
        <w:t xml:space="preserve">I believe this is more than an algorithm comparison: it quantifies the</w:t>
      </w:r>
      <w:r>
        <w:t xml:space="preserve"> </w:t>
      </w:r>
      <w:r>
        <w:t xml:space="preserve">value of distributional information, the cost of model misspecification,</w:t>
      </w:r>
      <w:r>
        <w:t xml:space="preserve"> </w:t>
      </w:r>
      <w:r>
        <w:t xml:space="preserve">and the marginal value of decision complexity — the quantities a</w:t>
      </w:r>
      <w:r>
        <w:t xml:space="preserve"> </w:t>
      </w:r>
      <w:r>
        <w:t xml:space="preserve">service-sector planner must trade off when choosing how elaborate a</w:t>
      </w:r>
      <w:r>
        <w:t xml:space="preserve"> </w:t>
      </w:r>
      <w:r>
        <w:t xml:space="preserve">scheduling rule to implement. The work speaks to this journal’s ongoing</w:t>
      </w:r>
      <w:r>
        <w:t xml:space="preserve"> </w:t>
      </w:r>
      <w:r>
        <w:t xml:space="preserve">conversation on quantitative planning in the service sector, including</w:t>
      </w:r>
      <w:r>
        <w:t xml:space="preserve"> </w:t>
      </w:r>
      <w:r>
        <w:t xml:space="preserve">slot-structure design for clinical scheduling (Chakraborty, Muthuraman</w:t>
      </w:r>
      <w:r>
        <w:t xml:space="preserve"> </w:t>
      </w:r>
      <w:r>
        <w:t xml:space="preserve">and Lawley, 2013), simulation-based healthcare capacity planning (Shoaib</w:t>
      </w:r>
      <w:r>
        <w:t xml:space="preserve"> </w:t>
      </w:r>
      <w:r>
        <w:t xml:space="preserve">et al., 2023), and scheduling-rule design for hospital staff (Alaouchiche</w:t>
      </w:r>
      <w:r>
        <w:t xml:space="preserve"> </w:t>
      </w:r>
      <w:r>
        <w:t xml:space="preserve">et al., 2024). The model is deliberately transparent — a single-provider</w:t>
      </w:r>
      <w:r>
        <w:t xml:space="preserve"> </w:t>
      </w:r>
      <w:r>
        <w:t xml:space="preserve">finite-session system evaluated on a synthetic design space — and the</w:t>
      </w:r>
      <w:r>
        <w:t xml:space="preserve"> </w:t>
      </w:r>
      <w:r>
        <w:t xml:space="preserve">manuscript states that scope plainly rather than claiming field</w:t>
      </w:r>
      <w:r>
        <w:t xml:space="preserve"> </w:t>
      </w:r>
      <w:r>
        <w:t xml:space="preserve">validation or monetary outcomes it does not have.</w:t>
      </w:r>
    </w:p>
    <w:p>
      <w:pPr>
        <w:pStyle w:val="BodyText"/>
      </w:pPr>
      <w:r>
        <w:t xml:space="preserve">Every number, figure, and table is regenerated by the accompanying open</w:t>
      </w:r>
      <w:r>
        <w:t xml:space="preserve"> </w:t>
      </w:r>
      <w:r>
        <w:t xml:space="preserve">simulation pipeline; the full code and processed-data package is included</w:t>
      </w:r>
      <w:r>
        <w:t xml:space="preserve"> </w:t>
      </w:r>
      <w:r>
        <w:t xml:space="preserve">for reproducibility [public repository URL to be confirmed by author].</w:t>
      </w:r>
    </w:p>
    <w:p>
      <w:pPr>
        <w:pStyle w:val="BodyText"/>
      </w:pPr>
      <w:r>
        <w:t xml:space="preserve">The manuscript is original, is not under consideration elsewhere, and has</w:t>
      </w:r>
      <w:r>
        <w:t xml:space="preserve"> </w:t>
      </w:r>
      <w:r>
        <w:t xml:space="preserve">not been published previously [author to confirm]. There are no competing</w:t>
      </w:r>
      <w:r>
        <w:t xml:space="preserve"> </w:t>
      </w:r>
      <w:r>
        <w:t xml:space="preserve">interests to declare [author to confirm].</w:t>
      </w:r>
    </w:p>
    <w:p>
      <w:pPr>
        <w:pStyle w:val="BodyText"/>
      </w:pPr>
      <w:r>
        <w:t xml:space="preserve">[Author name, affiliation, and signature to be completed by author.]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2026-10-15T07:25:35Z</dcterms:created>
  <dcterms:modified xsi:type="dcterms:W3CDTF">2026-10-15T07:25:35Z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