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When Does Scheduling Complexity Pay? Appointment Scheduling under Service-Time Distributional Uncertainty</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 A complexity analysis over block-structured interval vectors shows the residual nonuniform benefit concentrates in a few boundary scheduling degrees of freedom, and identifies the conditions — nonstationarity, structured patient heterogeneity, high overtime pricing — under which added complexity pays.</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in this journal [9, 10], along with quantile-objective designs [11] and multi-stage scheduling under limited distributional information [12]. Distributionally robust and conic designs hedge against limited distributional information [13, 14], and asymptotic theory shows constant or critical-load schedules to be optimal in fluid and diffusion limits [15, 16]. What finite sessions gain beyond a single optimized scalar interval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shows the nonuniform benefit concentrates in a few boundary degrees of freedom;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2376"/>
        <w:gridCol w:w="6263"/>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1655"/>
        <w:gridCol w:w="1800"/>
        <w:gridCol w:w="4320"/>
        <w:gridCol w:w="864"/>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on four representative families (gamma, lognormal, mixture, Pareto) at CV = 1.0,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655"/>
        <w:gridCol w:w="1296"/>
        <w:gridCol w:w="1296"/>
        <w:gridCol w:w="1296"/>
        <w:gridCol w:w="1296"/>
        <w:gridCol w:w="1800"/>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655"/>
        <w:gridCol w:w="1944"/>
        <w:gridCol w:w="2376"/>
        <w:gridCol w:w="1368"/>
        <w:gridCol w:w="136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of the 29 adjustable parameters captures 91–97% of the uniform-to-full gap across the four tested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interval positions — closes 85–95% of the full gap, versus 3–9% for six interior positions — an empirical structural pattern in these experiments, not a guarantee.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CV = 1.0, four families).</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2880"/>
        <w:gridCol w:w="820"/>
        <w:gridCol w:w="820"/>
        <w:gridCol w:w="820"/>
        <w:gridCol w:w="820"/>
        <w:gridCol w:w="820"/>
        <w:gridCol w:w="820"/>
        <w:gridCol w:w="82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(first/last three) vs six interior degrees of freedom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(b) Optimal interval minus uniform interval by session position.</w:t>
      </w:r>
    </w:p>
    <w:p>
      <w:r>
        <w:rPr>
          <w:rFonts w:ascii="Times New Roman" w:hAnsi="Times New Roman" w:cs="Times New Roman" w:eastAsia="Times New Roman"/>
          <w:color w:val="000000"/>
          <w:sz w:val="24"/>
          <w:szCs w:val="24"/>
        </w:rPr>
        <w:t xml:space="preserve">Three constructed stress regimes bound the finding's scope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can pay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3888"/>
        <w:gridCol w:w="1728"/>
        <w:gridCol w:w="1584"/>
        <w:gridCol w:w="1728"/>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asymptotic optimality of constant policies [15, 16] by quantifying finite-session regret — with overtime included — the marginal value of added schedule complexity, and the boundary positions where that value concentrates.</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[12,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Interruption-aware designs [10]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34-36].</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can pay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Creemers S, Lambrecht M. An advanced queueing model to analyze appointment-driven service systems. Computers &amp; Operations Research 2008;36(10):2773–2785. https://doi.org/10.1016/j.cor.2008.12.008.</w:t>
      </w:r>
    </w:p>
    <w:p>
      <w:r>
        <w:rPr>
          <w:rFonts w:ascii="Times New Roman" w:hAnsi="Times New Roman" w:cs="Times New Roman" w:eastAsia="Times New Roman"/>
          <w:color w:val="000000"/>
          <w:sz w:val="24"/>
          <w:szCs w:val="24"/>
        </w:rPr>
        <w:t>[10] Dogru AK, Melouk SH, Çapar İ, Weida TJ. Managing interruptions in appointment schedules via patient notification. Computers &amp; Operations Research 2023;159:106352. https://doi.org/10.1016/j.cor.2023.106352.</w:t>
      </w:r>
    </w:p>
    <w:p>
      <w:r>
        <w:rPr>
          <w:rFonts w:ascii="Times New Roman" w:hAnsi="Times New Roman" w:cs="Times New Roman" w:eastAsia="Times New Roman"/>
          <w:color w:val="000000"/>
          <w:sz w:val="24"/>
          <w:szCs w:val="24"/>
        </w:rPr>
        <w:t>[11] Begen MA, Cao J. Appointment scheduling with a quantile objective. Computers &amp; Operations Research 2021;132:105295. https://doi.org/10.1016/j.cor.2021.105295.</w:t>
      </w:r>
    </w:p>
    <w:p>
      <w:r>
        <w:rPr>
          <w:rFonts w:ascii="Times New Roman" w:hAnsi="Times New Roman" w:cs="Times New Roman" w:eastAsia="Times New Roman"/>
          <w:color w:val="000000"/>
          <w:sz w:val="24"/>
          <w:szCs w:val="24"/>
        </w:rPr>
        <w:t>[12] Zhou S, Yue Q. Appointment scheduling for multi-stage sequential service systems with limited distributional information. Computers &amp; Operations Research 2021;132:105287. https://doi.org/10.1016/j.cor.2021.105287.</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[35] Wang J, Fung RYK. Dynamic appointment scheduling with patient preferences and choices. Industrial Management &amp; Data Systems 2015;115(4):700–717. https://doi.org/10.1108/imds-12-2014-0372.</w:t>
      </w:r>
    </w:p>
    <w:p>
      <w:r>
        <w:rPr>
          <w:rFonts w:ascii="Times New Roman" w:hAnsi="Times New Roman" w:cs="Times New Roman" w:eastAsia="Times New Roman"/>
          <w:color w:val="000000"/>
          <w:sz w:val="24"/>
          <w:szCs w:val="24"/>
        </w:rPr>
        <w:t>[36] Klassen KJ, Yoogalingam R. Appointment system design with interruptions and physician lateness. International Journal of Operations &amp; Production Management 2013;33(4):394–414. https://doi.org/10.1108/01443571311307253.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