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with the stochastic core traceable to Lindley [3] and early policy comparisons by Soriano [4]; modern reviews include Cayirli and Veral [5], Cayirli et al. [6], Gupta and Denton [7], and Ahmadi-Javid et al. [8]. Optimal interval design under known stochastic service times is well studied [9-11], as are heuristic rules [12], unpunctuality and interruptions [13, 14], no-shows and overbooking [15-17], and service-time variability [18]. Distributionally robust and conic designs hedge against limited distributional information [19-21].</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[3].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[9, 10]:</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r>
        <w:rPr>
          <w:rFonts w:ascii="Times New Roman" w:hAnsi="Times New Roman" w:cs="Times New Roman" w:eastAsia="Times New Roman"/>
          <w:color w:val="000000"/>
          <w:sz w:val="24"/>
          <w:szCs w:val="24"/>
        </w:rPr>
        <w:t>Policies evaluated (Table 2), resting on CVaR and robust-optimization machinery [22-24], with general scheduling foundations in Pinedo [25], span: fixed mean-based slots; a conservative fixed slot (mean plus slack); a quantile-based slot; a class-based rule using mixture-component labels where such classes are observable; SAA-optimized uniform and nonuniform intervals; a CVaR-penalized tail-aware uniform interval [22]; a distributionally robust (DRO) uniform interval hedging across a four-family ambiguity set; and the oracle. The DRO policy uses the worst-case expected-cost principle studied in limited-information appointment scheduling and broader DRO frameworks [19-21, 24, 26].</w:t>
      </w:r>
    </w:p>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(Supplementary Fig. S1)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Operational robustness additionally varies no-show probabilities and arrival jitter, reflecting established appointment models with absences and unpunctuality [14-16].</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 xml:space="preserve">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 With moment-fitted gamma designs,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5);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6). Early-session shocks are costlier in aggregate waiting; end-of-session shocks convert to overtime instead.</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7):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[9-11, 27-29] by quantifying the marginal value of added schedule complexity in the tested setting.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[19, 24, 26].</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[5-8, 30].</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[4] Soriano A. Comparison of two scheduling systems. Operations Research 1966;14(3):388–397. https://doi.org/10.1287/opre.14.3.388.</w:t>
      </w:r>
    </w:p>
    <w:p>
      <w:r>
        <w:rPr>
          <w:rFonts w:ascii="Times New Roman" w:hAnsi="Times New Roman" w:cs="Times New Roman" w:eastAsia="Times New Roman"/>
          <w:color w:val="000000"/>
          <w:sz w:val="24"/>
          <w:szCs w:val="24"/>
        </w:rPr>
        <w:t>[5]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[7]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[8]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[9]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[10]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[11]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[12]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[13]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[14]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[15]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[16]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[17]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[18]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[19]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[20]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[21]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[22]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[23] Bertsimas D, Sim M. The price of robustness. Operations Research 2004;52(1):35–53. https://doi.org/10.1287/opre.1030.0065.</w:t>
      </w:r>
    </w:p>
    <w:p>
      <w:r>
        <w:rPr>
          <w:rFonts w:ascii="Times New Roman" w:hAnsi="Times New Roman" w:cs="Times New Roman" w:eastAsia="Times New Roman"/>
          <w:color w:val="000000"/>
          <w:sz w:val="24"/>
          <w:szCs w:val="24"/>
        </w:rPr>
        <w:t>[24]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[25] Pinedo ML. Selected scheduling systems. In: Scheduling. Springer US; 2011. p. 611–613. https://doi.org/10.1007/978-1-4614-2361-4_27.</w:t>
      </w:r>
    </w:p>
    <w:p>
      <w:r>
        <w:rPr>
          <w:rFonts w:ascii="Times New Roman" w:hAnsi="Times New Roman" w:cs="Times New Roman" w:eastAsia="Times New Roman"/>
          <w:color w:val="000000"/>
          <w:sz w:val="24"/>
          <w:szCs w:val="24"/>
        </w:rPr>
        <w:t>[26]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[27]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[28]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[29]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[30]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