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Dear Editors,</w:t>
      </w:r>
    </w:p>
    <w:p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I submit "Service-Time Distributional Uncertainty in Outpatient Scheduling: When Simple Interval Optimization Is Enough" for consideration in Computers &amp; Operations Research.</w:t>
      </w:r>
    </w:p>
    <w:p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This is a computational study of appointment scheduling under distributional uncertainty. Using a finite-horizon Lindley-type delay recursion evaluated by large-scale Monte Carlo simulation with common random numbers, I hold the service-time mean fixed and vary only the distributional family and tail shape across ten specifications (gamma, Weibull, lognormal, mixture, and Pareto-type designs) and session sizes. The findings are computational in nature: fixed mean-based slots leave 36.7–71.3% of attainable savings unrealized; a single SAA-optimized uniform interval recovers nearly all attainable benefit (maximum relative regret 1.4% versus a nonuniform oracle); and a complexity frontier over block-structured interval vectors shows that the residual benefit of position-dependent schedules concentrates in a few boundary degrees of freedom. Deliberately constructed counterexamples — nonstationary service means, known heterogeneous bookings, and high overtime pricing — delimit exactly where richer designs pay. A misspecification study shows that optimizing under a wrongly assumed family can erase these gains entirely, with under-designed intervals costing about three times as much as over-designed ones.</w:t>
      </w:r>
    </w:p>
    <w:p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I believe the work fits the journal's areas of scheduling and decision-making under uncertainty: its contribution is a controlled computational comparison of policy classes — fixed, quantile-based, class-based, SAA-optimized uniform and nonuniform, CVaR-aware, and distributionally robust — evaluated under identical simulation conditions, together with a quantification of the marginal value of schedule complexity. Every number, figure, and table is regenerated by the accompanying open simulation pipeline, and the full code and processed-data package is included for reproducibility.</w:t>
      </w:r>
    </w:p>
    <w:p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The manuscript is original, is not under consideration elsewhere, and has not been published previously. There are no competing interests to declare [author to confirm].</w:t>
      </w:r>
    </w:p>
    <w:p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[Author name, affiliation, and signature to be completed by author.]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cs="Times New Roman" w:eastAsia="Times New Roman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cs="Times New Roman" w:eastAsia="Times New Roman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cs="Times New Roman" w:eastAsia="Times New Roman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cs="Times New Roman" w:eastAsia="Times New Roman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4"/>
        <w:szCs w:val="24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Times New Roman"/>
      <w:color w:val="000000"/>
      <w:sz w:val="24"/>
      <w:szCs w:val="24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 w:eastAsia="Times New Roman"/>
      <w:color w:val="000000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000000"/>
      <w:spacing w:val="5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Times New Roman"/>
      <w:color w:val="000000"/>
      <w:spacing w:val="5"/>
      <w:kern w:val="28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sz w:val="24"/>
      <w:szCs w:val="24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Times New Roman"/>
      <w:sz w:val="24"/>
      <w:szCs w:val="24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sz w:val="24"/>
      <w:szCs w:val="24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sz w:val="24"/>
      <w:szCs w:val="24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Times New Roman"/>
      <w:smallCaps/>
      <w:color w:val="000000"/>
      <w:u w:val="single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u w:val="single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Times New Roman"/>
      <w:b/>
      <w:bCs/>
      <w:smallCaps/>
      <w:spacing w:val="5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6E6E6" w:themeFill="text1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DF2F8" w:themeFill="accent1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8EDED" w:themeFill="accent2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5F8EE" w:themeFill="accent3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2EFF6" w:themeFill="accent4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DF6F9" w:themeFill="accent5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EF4EC" w:themeFill="accent6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999999" w:themeFill="text1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999999" w:themeFill="text1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000000" w:themeFill="text1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8CCE4" w:themeFill="accent1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8CCE4" w:themeFill="accent1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65F91" w:themeFill="accent1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5B8B7" w:themeFill="accent2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5B8B7" w:themeFill="accent2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943634" w:themeFill="accent2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D6E3BC" w:themeFill="accent3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D6E3BC" w:themeFill="accent3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76923C" w:themeFill="accent3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CCC0D9" w:themeFill="accent4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CCC0D9" w:themeFill="accent4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5F497A" w:themeFill="accent4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6DDE8" w:themeFill="accent5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6DDE8" w:themeFill="accent5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1849B" w:themeFill="accent5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BD4B4" w:themeFill="accent6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BD4B4" w:themeFill="accent6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E36C0A" w:themeFill="accent6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Times New Roman"/>
        <w:sz w:val="24"/>
        <w:szCs w:val="24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000000"/>
      <w:spacing w:val="5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Times New Roman"/>
      <w:color w:val="000000"/>
      <w:spacing w:val="5"/>
      <w:kern w:val="28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sz w:val="24"/>
      <w:szCs w:val="24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Times New Roman"/>
      <w:sz w:val="24"/>
      <w:szCs w:val="24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sz w:val="24"/>
      <w:szCs w:val="24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sz w:val="24"/>
      <w:szCs w:val="24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Times New Roman"/>
      <w:smallCaps/>
      <w:color w:val="000000"/>
      <w:u w:val="single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u w:val="single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Times New Roman"/>
      <w:b/>
      <w:bCs/>
      <w:smallCaps/>
      <w:spacing w:val="5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6E6E6" w:themeFill="text1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DF2F8" w:themeFill="accent1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8EDED" w:themeFill="accent2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5F8EE" w:themeFill="accent3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2EFF6" w:themeFill="accent4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DF6F9" w:themeFill="accent5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EF4EC" w:themeFill="accent6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999999" w:themeFill="text1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999999" w:themeFill="text1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000000" w:themeFill="text1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8CCE4" w:themeFill="accent1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8CCE4" w:themeFill="accent1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65F91" w:themeFill="accent1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5B8B7" w:themeFill="accent2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5B8B7" w:themeFill="accent2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943634" w:themeFill="accent2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D6E3BC" w:themeFill="accent3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D6E3BC" w:themeFill="accent3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76923C" w:themeFill="accent3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CCC0D9" w:themeFill="accent4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CCC0D9" w:themeFill="accent4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5F497A" w:themeFill="accent4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6DDE8" w:themeFill="accent5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6DDE8" w:themeFill="accent5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1849B" w:themeFill="accent5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BD4B4" w:themeFill="accent6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BD4B4" w:themeFill="accent6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E36C0A" w:themeFill="accent6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Times New Roman"/>
        <a:cs typeface="Times New Roman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