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Service-Time Distributional Uncertainty in Outpatient Scheduling: When Simple Interval Optimization Is Enough</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(scenario-mean regret rises from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 A complexity analysis over block-structured interval vectors shows the residual nonuniform benefit concentrates in a few boundary scheduling degrees of freedom, and identifies the conditions — nonstationarity, structured patient heterogeneity, high overtime pricing — under which added complexity pays.</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Queueing and simulation models of appointment-driven systems are established in this journal [9, 10], along with quantile-objective designs [11] and multi-stage scheduling under limited distributional information [12]. Distributionally robust and conic designs hedge against limited distributional information [13, 14], and asymptotic theory shows constant or critical-load schedules to be optimal in fluid and diffusion limits [15, 16]. What finite sessions gain beyond a single optimized scalar interval is the empirical question we quantify.</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Value of schedule complexity.</w:t>
      </w:r>
      <w:r>
        <w:rPr>
          <w:rFonts w:ascii="Times New Roman" w:hAnsi="Times New Roman" w:cs="Times New Roman" w:eastAsia="Times New Roman"/>
          <w:color w:val="000000"/>
          <w:sz w:val="24"/>
          <w:szCs w:val="24"/>
        </w:rPr>
        <w:t xml:space="preserve"> A complexity frontier over block-structured interval families shows the nonuniform benefit concentrates in a few boundary degrees of freedom; interior slot-by-slot freedom adds almost nothing.</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[17].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4320"/>
        <w:gridCol w:w="4320"/>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[18-20], with general scheduling foundations in Pinedo [21], span: fixed mean-based slots; a conservative fixed slot (mean plus slack) [22, 23]; a quantile-based slot; a class-based rule using mixture-component labels where such classes are observable; SAA-optimized uniform and nonuniform intervals; a CVaR-penalized tail-aware uniform interval [18]; a distributionally robust (DRO) uniform interval hedging across a four-family ambiguity set; and the oracle. The DRO policy uses the worst-case expected-cost principle studied in limited-information appointment scheduling and broader DRO frameworks [13, 14, 20, 24, 25].</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[26-29].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 The complexity experiments of Section 4.7 restrict the interval vector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contiguous blocks and use 3,000 SAA design draws with 20,000 fresh evaluation draws per cell, reported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unless stated otherwise.</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4.7 How much schedule complexity is worth paying for</w:t>
      </w:r>
    </w:p>
    <w:p>
      <w:r>
        <w:rPr>
          <w:rFonts w:ascii="Times New Roman" w:hAnsi="Times New Roman" w:cs="Times New Roman" w:eastAsia="Times New Roman"/>
          <w:color w:val="000000"/>
          <w:sz w:val="24"/>
          <w:szCs w:val="24"/>
        </w:rPr>
        <w:t xml:space="preserve">If the uniform interval is almost enough, the computational question is how much of the remaining gap each added degree of scheduling freedom buys. For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let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K</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be the best SAA-attainable expected cost when the interval vector is restricted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blocks (contiguous, with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the uniform policy), evaluated on fresh draws;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is a per-position optimization strictly richer than the 6-block nonuniform oracle of Section 4.4.</w:t>
      </w:r>
    </w:p>
    <w:p>
      <w:r>
        <w:rPr>
          <w:rFonts w:ascii="Times New Roman" w:hAnsi="Times New Roman" w:cs="Times New Roman" w:eastAsia="Times New Roman"/>
          <w:color w:val="000000"/>
          <w:sz w:val="24"/>
          <w:szCs w:val="24"/>
        </w:rPr>
        <w:t xml:space="preserve">The frontier is steeply concave (Fig. 9, Table 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of the 29 adjustable parameters captures 91–97% of the uniform-to-full gap across families, and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4</m:t>
        </m:r>
      </m:oMath>
      <w:r>
        <w:rPr>
          <w:rFonts w:ascii="Times New Roman" w:hAnsi="Times New Roman" w:cs="Times New Roman" w:eastAsia="Times New Roman"/>
          <w:color w:val="000000"/>
          <w:sz w:val="24"/>
          <w:szCs w:val="24"/>
        </w:rPr>
        <w:t xml:space="preserve"> already captures 42–61%. The decomposition in Fig. 10(a) locates the value: freeing only six boundary degrees of freedom — the first and last three positions — closes 85–95% of the full gap, versus 3–9% for six interior positions. The optimal vector itself (Fig. 10(b)) confirms the mechanism: interior intervals stay within about a minute of the uniform optimum while the first intervals are shortened and the last is lengthened, front-loading density to cut early idle and cushioning the boundary slot against overtime.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458817"/>
            <wp:docPr id="9" name="Picture 9"/>
            <wp:cNvGraphicFramePr>
              <a:graphicFrameLocks noChangeAspect="1"/>
            </wp:cNvGraphicFramePr>
            <a:graphic>
              <a:graphicData uri="http://schemas.openxmlformats.org/drawingml/2006/picture">
                <pic:pic>
                  <pic:nvPicPr>
                    <pic:cNvPr id="0" name="fig9_complexity_frontier.png"/>
                    <pic:cNvPicPr/>
                  </pic:nvPicPr>
                  <pic:blipFill>
                    <a:blip r:embed="rId17"/>
                    <a:stretch>
                      <a:fillRect/>
                    </a:stretch>
                  </pic:blipFill>
                  <pic:spPr>
                    <a:xfrm>
                      <a:off x="0" y="0"/>
                      <a:ext cx="5486400" cy="3458817"/>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9. </w:t>
      </w:r>
      <w:r>
        <w:rPr>
          <w:rFonts w:ascii="Times New Roman" w:hAnsi="Times New Roman" w:cs="Times New Roman" w:eastAsia="Times New Roman"/>
          <w:sz w:val="20"/>
          <w:color w:val="000000"/>
          <w:szCs w:val="20"/>
        </w:rPr>
        <w:t xml:space="preserve">Complexity frontier: share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piecewise-constant blocks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5. </w:t>
      </w:r>
      <w:r>
        <w:rPr>
          <w:rFonts w:ascii="Times New Roman" w:hAnsi="Times New Roman" w:cs="Times New Roman" w:eastAsia="Times New Roman"/>
          <w:sz w:val="20"/>
          <w:color w:val="000000"/>
          <w:szCs w:val="20"/>
        </w:rPr>
        <w:t xml:space="preserve">Share (%)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block parameters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tbl>
      <w:tblPr>
        <w:tblStyle w:val="LightGrid-Accent1"/>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cantSplit/>
          <w:tblHeader/>
        </w:trPr>
        <w:tc>
          <w:tcPr>
            <w:tcW w:type="dxa" w:w="2880"/>
          </w:tcPr>
          <w:p>
            <w:pPr>
              <w:keepNext/>
            </w:pPr>
            <w:r>
              <w:rPr>
                <w:rFonts w:ascii="Times New Roman" w:hAnsi="Times New Roman" w:cs="Times New Roman" w:eastAsia="Times New Roman"/>
                <w:color w:val="000000"/>
                <w:sz w:val="24"/>
                <w:szCs w:val="24"/>
              </w:rPr>
              <w:t>spec</w:t>
            </w:r>
          </w:p>
        </w:tc>
        <w:tc>
          <w:tcPr>
            <w:tcW w:type="dxa" w:w="821"/>
          </w:tcPr>
          <w:p>
            <w:pPr>
              <w:keepNext/>
            </w:pPr>
            <w:r>
              <w:rPr>
                <w:rFonts w:ascii="Times New Roman" w:hAnsi="Times New Roman" w:cs="Times New Roman" w:eastAsia="Times New Roman"/>
                <w:color w:val="000000"/>
                <w:sz w:val="24"/>
                <w:szCs w:val="24"/>
              </w:rPr>
              <w:t>K=1</w:t>
            </w:r>
          </w:p>
        </w:tc>
        <w:tc>
          <w:tcPr>
            <w:tcW w:type="dxa" w:w="821"/>
          </w:tcPr>
          <w:p>
            <w:pPr>
              <w:keepNext/>
            </w:pPr>
            <w:r>
              <w:rPr>
                <w:rFonts w:ascii="Times New Roman" w:hAnsi="Times New Roman" w:cs="Times New Roman" w:eastAsia="Times New Roman"/>
                <w:color w:val="000000"/>
                <w:sz w:val="24"/>
                <w:szCs w:val="24"/>
              </w:rPr>
              <w:t>K=2</w:t>
            </w:r>
          </w:p>
        </w:tc>
        <w:tc>
          <w:tcPr>
            <w:tcW w:type="dxa" w:w="821"/>
          </w:tcPr>
          <w:p>
            <w:pPr>
              <w:keepNext/>
            </w:pPr>
            <w:r>
              <w:rPr>
                <w:rFonts w:ascii="Times New Roman" w:hAnsi="Times New Roman" w:cs="Times New Roman" w:eastAsia="Times New Roman"/>
                <w:color w:val="000000"/>
                <w:sz w:val="24"/>
                <w:szCs w:val="24"/>
              </w:rPr>
              <w:t>K=4</w:t>
            </w:r>
          </w:p>
        </w:tc>
        <w:tc>
          <w:tcPr>
            <w:tcW w:type="dxa" w:w="821"/>
          </w:tcPr>
          <w:p>
            <w:pPr>
              <w:keepNext/>
            </w:pPr>
            <w:r>
              <w:rPr>
                <w:rFonts w:ascii="Times New Roman" w:hAnsi="Times New Roman" w:cs="Times New Roman" w:eastAsia="Times New Roman"/>
                <w:color w:val="000000"/>
                <w:sz w:val="24"/>
                <w:szCs w:val="24"/>
              </w:rPr>
              <w:t>K=6</w:t>
            </w:r>
          </w:p>
        </w:tc>
        <w:tc>
          <w:tcPr>
            <w:tcW w:type="dxa" w:w="821"/>
          </w:tcPr>
          <w:p>
            <w:pPr>
              <w:keepNext/>
            </w:pPr>
            <w:r>
              <w:rPr>
                <w:rFonts w:ascii="Times New Roman" w:hAnsi="Times New Roman" w:cs="Times New Roman" w:eastAsia="Times New Roman"/>
                <w:color w:val="000000"/>
                <w:sz w:val="24"/>
                <w:szCs w:val="24"/>
              </w:rPr>
              <w:t>K=10</w:t>
            </w:r>
          </w:p>
        </w:tc>
        <w:tc>
          <w:tcPr>
            <w:tcW w:type="dxa" w:w="821"/>
          </w:tcPr>
          <w:p>
            <w:pPr>
              <w:keepNext/>
            </w:pPr>
            <w:r>
              <w:rPr>
                <w:rFonts w:ascii="Times New Roman" w:hAnsi="Times New Roman" w:cs="Times New Roman" w:eastAsia="Times New Roman"/>
                <w:color w:val="000000"/>
                <w:sz w:val="24"/>
                <w:szCs w:val="24"/>
              </w:rPr>
              <w:t>K=15</w:t>
            </w:r>
          </w:p>
        </w:tc>
        <w:tc>
          <w:tcPr>
            <w:tcW w:type="dxa" w:w="821"/>
          </w:tcPr>
          <w:p>
            <w:pPr>
              <w:keepNext/>
            </w:pPr>
            <w:r>
              <w:rPr>
                <w:rFonts w:ascii="Times New Roman" w:hAnsi="Times New Roman" w:cs="Times New Roman" w:eastAsia="Times New Roman"/>
                <w:color w:val="000000"/>
                <w:sz w:val="24"/>
                <w:szCs w:val="24"/>
              </w:rPr>
              <w:t>K=29</w:t>
            </w:r>
          </w:p>
        </w:tc>
      </w:tr>
      <w:tr>
        <w:trPr>
          <w:cantSplit/>
        </w:trPr>
        <w:tc>
          <w:tcPr>
            <w:tcW w:type="dxa" w:w="2880"/>
          </w:tcPr>
          <w:p>
            <w:pPr>
              <w:keepNext/>
            </w:pPr>
            <w:r>
              <w:rPr>
                <w:rFonts w:ascii="Times New Roman" w:hAnsi="Times New Roman" w:cs="Times New Roman" w:eastAsia="Times New Roman"/>
                <w:color w:val="000000"/>
                <w:sz w:val="24"/>
                <w:szCs w:val="24"/>
              </w:rPr>
              <w:t>gamma_cv10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9.5</w:t>
            </w:r>
          </w:p>
        </w:tc>
        <w:tc>
          <w:tcPr>
            <w:tcW w:type="dxa" w:w="821"/>
          </w:tcPr>
          <w:p>
            <w:pPr>
              <w:keepNext/>
            </w:pPr>
            <w:r>
              <w:rPr>
                <w:rFonts w:ascii="Times New Roman" w:hAnsi="Times New Roman" w:cs="Times New Roman" w:eastAsia="Times New Roman"/>
                <w:color w:val="000000"/>
                <w:sz w:val="24"/>
                <w:szCs w:val="24"/>
              </w:rPr>
              <w:t>42.5</w:t>
            </w:r>
          </w:p>
        </w:tc>
        <w:tc>
          <w:tcPr>
            <w:tcW w:type="dxa" w:w="821"/>
          </w:tcPr>
          <w:p>
            <w:pPr>
              <w:keepNext/>
            </w:pPr>
            <w:r>
              <w:rPr>
                <w:rFonts w:ascii="Times New Roman" w:hAnsi="Times New Roman" w:cs="Times New Roman" w:eastAsia="Times New Roman"/>
                <w:color w:val="000000"/>
                <w:sz w:val="24"/>
                <w:szCs w:val="24"/>
              </w:rPr>
              <w:t>68</w:t>
            </w:r>
          </w:p>
        </w:tc>
        <w:tc>
          <w:tcPr>
            <w:tcW w:type="dxa" w:w="821"/>
          </w:tcPr>
          <w:p>
            <w:pPr>
              <w:keepNext/>
            </w:pPr>
            <w:r>
              <w:rPr>
                <w:rFonts w:ascii="Times New Roman" w:hAnsi="Times New Roman" w:cs="Times New Roman" w:eastAsia="Times New Roman"/>
                <w:color w:val="000000"/>
                <w:sz w:val="24"/>
                <w:szCs w:val="24"/>
              </w:rPr>
              <w:t>90.6</w:t>
            </w:r>
          </w:p>
        </w:tc>
        <w:tc>
          <w:tcPr>
            <w:tcW w:type="dxa" w:w="821"/>
          </w:tcPr>
          <w:p>
            <w:pPr>
              <w:keepNext/>
            </w:pPr>
            <w:r>
              <w:rPr>
                <w:rFonts w:ascii="Times New Roman" w:hAnsi="Times New Roman" w:cs="Times New Roman" w:eastAsia="Times New Roman"/>
                <w:color w:val="000000"/>
                <w:sz w:val="24"/>
                <w:szCs w:val="24"/>
              </w:rPr>
              <w:t>98.9</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lognorm_cv10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48.6</w:t>
            </w:r>
          </w:p>
        </w:tc>
        <w:tc>
          <w:tcPr>
            <w:tcW w:type="dxa" w:w="821"/>
          </w:tcPr>
          <w:p>
            <w:pPr>
              <w:keepNext/>
            </w:pPr>
            <w:r>
              <w:rPr>
                <w:rFonts w:ascii="Times New Roman" w:hAnsi="Times New Roman" w:cs="Times New Roman" w:eastAsia="Times New Roman"/>
                <w:color w:val="000000"/>
                <w:sz w:val="24"/>
                <w:szCs w:val="24"/>
              </w:rPr>
              <w:t>74.7</w:t>
            </w:r>
          </w:p>
        </w:tc>
        <w:tc>
          <w:tcPr>
            <w:tcW w:type="dxa" w:w="821"/>
          </w:tcPr>
          <w:p>
            <w:pPr>
              <w:keepNext/>
            </w:pPr>
            <w:r>
              <w:rPr>
                <w:rFonts w:ascii="Times New Roman" w:hAnsi="Times New Roman" w:cs="Times New Roman" w:eastAsia="Times New Roman"/>
                <w:color w:val="000000"/>
                <w:sz w:val="24"/>
                <w:szCs w:val="24"/>
              </w:rPr>
              <w:t>95.4</w:t>
            </w:r>
          </w:p>
        </w:tc>
        <w:tc>
          <w:tcPr>
            <w:tcW w:type="dxa" w:w="821"/>
          </w:tcPr>
          <w:p>
            <w:pPr>
              <w:keepNext/>
            </w:pPr>
            <w:r>
              <w:rPr>
                <w:rFonts w:ascii="Times New Roman" w:hAnsi="Times New Roman" w:cs="Times New Roman" w:eastAsia="Times New Roman"/>
                <w:color w:val="000000"/>
                <w:sz w:val="24"/>
                <w:szCs w:val="24"/>
              </w:rPr>
              <w:t>99.8</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mix_p10_cv10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58</w:t>
            </w:r>
          </w:p>
        </w:tc>
        <w:tc>
          <w:tcPr>
            <w:tcW w:type="dxa" w:w="821"/>
          </w:tcPr>
          <w:p>
            <w:pPr>
              <w:keepNext/>
            </w:pPr>
            <w:r>
              <w:rPr>
                <w:rFonts w:ascii="Times New Roman" w:hAnsi="Times New Roman" w:cs="Times New Roman" w:eastAsia="Times New Roman"/>
                <w:color w:val="000000"/>
                <w:sz w:val="24"/>
                <w:szCs w:val="24"/>
              </w:rPr>
              <w:t>83.5</w:t>
            </w:r>
          </w:p>
        </w:tc>
        <w:tc>
          <w:tcPr>
            <w:tcW w:type="dxa" w:w="821"/>
          </w:tcPr>
          <w:p>
            <w:pPr>
              <w:keepNext/>
            </w:pPr>
            <w:r>
              <w:rPr>
                <w:rFonts w:ascii="Times New Roman" w:hAnsi="Times New Roman" w:cs="Times New Roman" w:eastAsia="Times New Roman"/>
                <w:color w:val="000000"/>
                <w:sz w:val="24"/>
                <w:szCs w:val="24"/>
              </w:rPr>
              <w:t>96.8</w:t>
            </w:r>
          </w:p>
        </w:tc>
        <w:tc>
          <w:tcPr>
            <w:tcW w:type="dxa" w:w="821"/>
          </w:tcPr>
          <w:p>
            <w:pPr>
              <w:keepNext/>
            </w:pPr>
            <w:r>
              <w:rPr>
                <w:rFonts w:ascii="Times New Roman" w:hAnsi="Times New Roman" w:cs="Times New Roman" w:eastAsia="Times New Roman"/>
                <w:color w:val="000000"/>
                <w:sz w:val="24"/>
                <w:szCs w:val="24"/>
              </w:rPr>
              <w:t>101.6</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pareto_a25</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9.7</w:t>
            </w:r>
          </w:p>
        </w:tc>
        <w:tc>
          <w:tcPr>
            <w:tcW w:type="dxa" w:w="821"/>
          </w:tcPr>
          <w:p>
            <w:pPr>
              <w:keepNext/>
            </w:pPr>
            <w:r>
              <w:rPr>
                <w:rFonts w:ascii="Times New Roman" w:hAnsi="Times New Roman" w:cs="Times New Roman" w:eastAsia="Times New Roman"/>
                <w:color w:val="000000"/>
                <w:sz w:val="24"/>
                <w:szCs w:val="24"/>
              </w:rPr>
              <w:t>61.2</w:t>
            </w:r>
          </w:p>
        </w:tc>
        <w:tc>
          <w:tcPr>
            <w:tcW w:type="dxa" w:w="821"/>
          </w:tcPr>
          <w:p>
            <w:pPr>
              <w:keepNext/>
            </w:pPr>
            <w:r>
              <w:rPr>
                <w:rFonts w:ascii="Times New Roman" w:hAnsi="Times New Roman" w:cs="Times New Roman" w:eastAsia="Times New Roman"/>
                <w:color w:val="000000"/>
                <w:sz w:val="24"/>
                <w:szCs w:val="24"/>
              </w:rPr>
              <w:t>84</w:t>
            </w:r>
          </w:p>
        </w:tc>
        <w:tc>
          <w:tcPr>
            <w:tcW w:type="dxa" w:w="821"/>
          </w:tcPr>
          <w:p>
            <w:pPr>
              <w:keepNext/>
            </w:pPr>
            <w:r>
              <w:rPr>
                <w:rFonts w:ascii="Times New Roman" w:hAnsi="Times New Roman" w:cs="Times New Roman" w:eastAsia="Times New Roman"/>
                <w:color w:val="000000"/>
                <w:sz w:val="24"/>
                <w:szCs w:val="24"/>
              </w:rPr>
              <w:t>97.1</w:t>
            </w:r>
          </w:p>
        </w:tc>
        <w:tc>
          <w:tcPr>
            <w:tcW w:type="dxa" w:w="821"/>
          </w:tcPr>
          <w:p>
            <w:pPr>
              <w:keepNext/>
            </w:pPr>
            <w:r>
              <w:rPr>
                <w:rFonts w:ascii="Times New Roman" w:hAnsi="Times New Roman" w:cs="Times New Roman" w:eastAsia="Times New Roman"/>
                <w:color w:val="000000"/>
                <w:sz w:val="24"/>
                <w:szCs w:val="24"/>
              </w:rPr>
              <w:t>100</w:t>
            </w:r>
          </w:p>
        </w:tc>
        <w:tc>
          <w:tcPr>
            <w:tcW w:type="dxa" w:w="821"/>
          </w:tcPr>
          <w:p>
            <w:r>
              <w:rPr>
                <w:rFonts w:ascii="Times New Roman" w:hAnsi="Times New Roman" w:cs="Times New Roman" w:eastAsia="Times New Roman"/>
                <w:color w:val="000000"/>
                <w:sz w:val="24"/>
                <w:szCs w:val="24"/>
              </w:rPr>
              <w:t>100</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fig10_boundary_interior.png"/>
                    <pic:cNvPicPr/>
                  </pic:nvPicPr>
                  <pic:blipFill>
                    <a:blip r:embed="rId18"/>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10. </w:t>
      </w:r>
      <w:r>
        <w:rPr>
          <w:rFonts w:ascii="Times New Roman" w:hAnsi="Times New Roman" w:cs="Times New Roman" w:eastAsia="Times New Roman"/>
          <w:sz w:val="20"/>
          <w:color w:val="000000"/>
          <w:szCs w:val="20"/>
        </w:rPr>
        <w:t>(a) Fraction of the full nonuniform gap closed by six boundary vs six interior degrees of freedom. (b) Optimal interval minus uniform interval by session position.</w:t>
      </w:r>
    </w:p>
    <w:p>
      <w:r>
        <w:rPr>
          <w:rFonts w:ascii="Times New Roman" w:hAnsi="Times New Roman" w:cs="Times New Roman" w:eastAsia="Times New Roman"/>
          <w:color w:val="000000"/>
          <w:sz w:val="24"/>
          <w:szCs w:val="24"/>
        </w:rPr>
        <w:t xml:space="preserve">The same decomposition delimits the result (Fig. 11(a), Table 6): when service means drift across the session, when a known long-consultation subtype recurs every fifth patient, or when overtime is priced at </w:t>
      </w:r>
      <m:oMath>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8</m:t>
        </m:r>
      </m:oMath>
      <w:r>
        <w:rPr>
          <w:rFonts w:ascii="Times New Roman" w:hAnsi="Times New Roman" w:cs="Times New Roman" w:eastAsia="Times New Roman"/>
          <w:color w:val="000000"/>
          <w:sz w:val="24"/>
          <w:szCs w:val="24"/>
        </w:rPr>
        <w:t xml:space="preserve">, uniform-interval regret versus the full design rises to 27%, 32% and 4% respectively — complexity pays exactly where heterogeneity is structured and known. The gap is also scale-dependent (Fig. 11(b)): absolute regret grows from 3.2 to 7.5 cost units as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runs from 5 to 50 while relative regret falls from 3.7% to 0.9%, so the scalar interval is at its best precisely in the long sessions where delay cascades are worst.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1" name="Picture 11"/>
            <wp:cNvGraphicFramePr>
              <a:graphicFrameLocks noChangeAspect="1"/>
            </wp:cNvGraphicFramePr>
            <a:graphic>
              <a:graphicData uri="http://schemas.openxmlformats.org/drawingml/2006/picture">
                <pic:pic>
                  <pic:nvPicPr>
                    <pic:cNvPr id="0" name="fig11_counterexamples_gap_vs_N.png"/>
                    <pic:cNvPicPr/>
                  </pic:nvPicPr>
                  <pic:blipFill>
                    <a:blip r:embed="rId19"/>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11. </w:t>
      </w:r>
      <w:r>
        <w:rPr>
          <w:rFonts w:ascii="Times New Roman" w:hAnsi="Times New Roman" w:cs="Times New Roman" w:eastAsia="Times New Roman"/>
          <w:sz w:val="20"/>
          <w:color w:val="000000"/>
          <w:szCs w:val="20"/>
        </w:rPr>
        <w:t xml:space="preserve">(a) Uniform-policy regret vs full design under nonstationary service, high overtime weight, and known heterogeneity. (b) Absolute gap and relative regret vs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6. </w:t>
      </w:r>
      <w:r>
        <w:rPr>
          <w:rFonts w:ascii="Times New Roman" w:hAnsi="Times New Roman" w:cs="Times New Roman" w:eastAsia="Times New Roman"/>
          <w:sz w:val="20"/>
          <w:color w:val="000000"/>
          <w:szCs w:val="20"/>
        </w:rPr>
        <w:t>Counterexample regimes: expected cost of optimized uniform vs full nonuniform design.</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3888"/>
          </w:tcPr>
          <w:p>
            <w:pPr>
              <w:keepNext/>
            </w:pPr>
            <w:r>
              <w:rPr>
                <w:rFonts w:ascii="Times New Roman" w:hAnsi="Times New Roman" w:cs="Times New Roman" w:eastAsia="Times New Roman"/>
                <w:color w:val="000000"/>
                <w:sz w:val="24"/>
                <w:szCs w:val="24"/>
              </w:rPr>
              <w:t>case</w:t>
            </w:r>
          </w:p>
        </w:tc>
        <w:tc>
          <w:tcPr>
            <w:tcW w:type="dxa" w:w="1728"/>
          </w:tcPr>
          <w:p>
            <w:pPr>
              <w:keepNext/>
            </w:pPr>
            <w:r>
              <w:rPr>
                <w:rFonts w:ascii="Times New Roman" w:hAnsi="Times New Roman" w:cs="Times New Roman" w:eastAsia="Times New Roman"/>
                <w:color w:val="000000"/>
                <w:sz w:val="24"/>
                <w:szCs w:val="24"/>
              </w:rPr>
              <w:t>C_uniform</w:t>
            </w:r>
          </w:p>
        </w:tc>
        <w:tc>
          <w:tcPr>
            <w:tcW w:type="dxa" w:w="1584"/>
          </w:tcPr>
          <w:p>
            <w:pPr>
              <w:keepNext/>
            </w:pPr>
            <w:r>
              <w:rPr>
                <w:rFonts w:ascii="Times New Roman" w:hAnsi="Times New Roman" w:cs="Times New Roman" w:eastAsia="Times New Roman"/>
                <w:color w:val="000000"/>
                <w:sz w:val="24"/>
                <w:szCs w:val="24"/>
              </w:rPr>
              <w:t>C_full</w:t>
            </w:r>
          </w:p>
        </w:tc>
        <w:tc>
          <w:tcPr>
            <w:tcW w:type="dxa" w:w="1728"/>
          </w:tcPr>
          <w:p>
            <w:pPr>
              <w:keepNext/>
            </w:pPr>
            <w:r>
              <w:rPr>
                <w:rFonts w:ascii="Times New Roman" w:hAnsi="Times New Roman" w:cs="Times New Roman" w:eastAsia="Times New Roman"/>
                <w:color w:val="000000"/>
                <w:sz w:val="24"/>
                <w:szCs w:val="24"/>
              </w:rPr>
              <w:t>regret_pct</w:t>
            </w:r>
          </w:p>
        </w:tc>
      </w:tr>
      <w:tr>
        <w:trPr>
          <w:cantSplit/>
        </w:trPr>
        <w:tc>
          <w:tcPr>
            <w:tcW w:type="dxa" w:w="3888"/>
          </w:tcPr>
          <w:p>
            <w:pPr>
              <w:keepNext/>
            </w:pPr>
            <w:r>
              <w:rPr>
                <w:rFonts w:ascii="Times New Roman" w:hAnsi="Times New Roman" w:cs="Times New Roman" w:eastAsia="Times New Roman"/>
                <w:color w:val="000000"/>
                <w:sz w:val="24"/>
                <w:szCs w:val="24"/>
              </w:rPr>
              <w:t>nonstationary_mean</w:t>
            </w:r>
          </w:p>
        </w:tc>
        <w:tc>
          <w:tcPr>
            <w:tcW w:type="dxa" w:w="1728"/>
          </w:tcPr>
          <w:p>
            <w:pPr>
              <w:keepNext/>
            </w:pPr>
            <w:r>
              <w:rPr>
                <w:rFonts w:ascii="Times New Roman" w:hAnsi="Times New Roman" w:cs="Times New Roman" w:eastAsia="Times New Roman"/>
                <w:color w:val="000000"/>
                <w:sz w:val="24"/>
                <w:szCs w:val="24"/>
              </w:rPr>
              <w:t>691.5</w:t>
            </w:r>
          </w:p>
        </w:tc>
        <w:tc>
          <w:tcPr>
            <w:tcW w:type="dxa" w:w="1584"/>
          </w:tcPr>
          <w:p>
            <w:pPr>
              <w:keepNext/>
            </w:pPr>
            <w:r>
              <w:rPr>
                <w:rFonts w:ascii="Times New Roman" w:hAnsi="Times New Roman" w:cs="Times New Roman" w:eastAsia="Times New Roman"/>
                <w:color w:val="000000"/>
                <w:sz w:val="24"/>
                <w:szCs w:val="24"/>
              </w:rPr>
              <w:t>544.7</w:t>
            </w:r>
          </w:p>
        </w:tc>
        <w:tc>
          <w:tcPr>
            <w:tcW w:type="dxa" w:w="1728"/>
          </w:tcPr>
          <w:p>
            <w:pPr>
              <w:keepNext/>
            </w:pPr>
            <w:r>
              <w:rPr>
                <w:rFonts w:ascii="Times New Roman" w:hAnsi="Times New Roman" w:cs="Times New Roman" w:eastAsia="Times New Roman"/>
                <w:color w:val="000000"/>
                <w:sz w:val="24"/>
                <w:szCs w:val="24"/>
              </w:rPr>
              <w:t>26.9</w:t>
            </w:r>
          </w:p>
        </w:tc>
      </w:tr>
      <w:tr>
        <w:trPr>
          <w:cantSplit/>
        </w:trPr>
        <w:tc>
          <w:tcPr>
            <w:tcW w:type="dxa" w:w="3888"/>
          </w:tcPr>
          <w:p>
            <w:pPr>
              <w:keepNext/>
            </w:pPr>
            <w:r>
              <w:rPr>
                <w:rFonts w:ascii="Times New Roman" w:hAnsi="Times New Roman" w:cs="Times New Roman" w:eastAsia="Times New Roman"/>
                <w:color w:val="000000"/>
                <w:sz w:val="24"/>
                <w:szCs w:val="24"/>
              </w:rPr>
              <w:t>high_overtime_c_o8</w:t>
            </w:r>
          </w:p>
        </w:tc>
        <w:tc>
          <w:tcPr>
            <w:tcW w:type="dxa" w:w="1728"/>
          </w:tcPr>
          <w:p>
            <w:pPr>
              <w:keepNext/>
            </w:pPr>
            <w:r>
              <w:rPr>
                <w:rFonts w:ascii="Times New Roman" w:hAnsi="Times New Roman" w:cs="Times New Roman" w:eastAsia="Times New Roman"/>
                <w:color w:val="000000"/>
                <w:sz w:val="24"/>
                <w:szCs w:val="24"/>
              </w:rPr>
              <w:t>622.9</w:t>
            </w:r>
          </w:p>
        </w:tc>
        <w:tc>
          <w:tcPr>
            <w:tcW w:type="dxa" w:w="1584"/>
          </w:tcPr>
          <w:p>
            <w:pPr>
              <w:keepNext/>
            </w:pPr>
            <w:r>
              <w:rPr>
                <w:rFonts w:ascii="Times New Roman" w:hAnsi="Times New Roman" w:cs="Times New Roman" w:eastAsia="Times New Roman"/>
                <w:color w:val="000000"/>
                <w:sz w:val="24"/>
                <w:szCs w:val="24"/>
              </w:rPr>
              <w:t>597.9</w:t>
            </w:r>
          </w:p>
        </w:tc>
        <w:tc>
          <w:tcPr>
            <w:tcW w:type="dxa" w:w="1728"/>
          </w:tcPr>
          <w:p>
            <w:pPr>
              <w:keepNext/>
            </w:pPr>
            <w:r>
              <w:rPr>
                <w:rFonts w:ascii="Times New Roman" w:hAnsi="Times New Roman" w:cs="Times New Roman" w:eastAsia="Times New Roman"/>
                <w:color w:val="000000"/>
                <w:sz w:val="24"/>
                <w:szCs w:val="24"/>
              </w:rPr>
              <w:t>4.2</w:t>
            </w:r>
          </w:p>
        </w:tc>
      </w:tr>
      <w:tr>
        <w:trPr>
          <w:cantSplit/>
        </w:trPr>
        <w:tc>
          <w:tcPr>
            <w:tcW w:type="dxa" w:w="3888"/>
          </w:tcPr>
          <w:p>
            <w:pPr>
              <w:keepNext/>
            </w:pPr>
            <w:r>
              <w:rPr>
                <w:rFonts w:ascii="Times New Roman" w:hAnsi="Times New Roman" w:cs="Times New Roman" w:eastAsia="Times New Roman"/>
                <w:color w:val="000000"/>
                <w:sz w:val="24"/>
                <w:szCs w:val="24"/>
              </w:rPr>
              <w:t>known_hetero_every5th</w:t>
            </w:r>
          </w:p>
        </w:tc>
        <w:tc>
          <w:tcPr>
            <w:tcW w:type="dxa" w:w="1728"/>
          </w:tcPr>
          <w:p>
            <w:pPr>
              <w:keepNext/>
            </w:pPr>
            <w:r>
              <w:rPr>
                <w:rFonts w:ascii="Times New Roman" w:hAnsi="Times New Roman" w:cs="Times New Roman" w:eastAsia="Times New Roman"/>
                <w:color w:val="000000"/>
                <w:sz w:val="24"/>
                <w:szCs w:val="24"/>
              </w:rPr>
              <w:t>412.4</w:t>
            </w:r>
          </w:p>
        </w:tc>
        <w:tc>
          <w:tcPr>
            <w:tcW w:type="dxa" w:w="1584"/>
          </w:tcPr>
          <w:p>
            <w:pPr>
              <w:keepNext/>
            </w:pPr>
            <w:r>
              <w:rPr>
                <w:rFonts w:ascii="Times New Roman" w:hAnsi="Times New Roman" w:cs="Times New Roman" w:eastAsia="Times New Roman"/>
                <w:color w:val="000000"/>
                <w:sz w:val="24"/>
                <w:szCs w:val="24"/>
              </w:rPr>
              <w:t>312.5</w:t>
            </w:r>
          </w:p>
        </w:tc>
        <w:tc>
          <w:tcPr>
            <w:tcW w:type="dxa" w:w="1728"/>
          </w:tcPr>
          <w:p>
            <w:r>
              <w:rPr>
                <w:rFonts w:ascii="Times New Roman" w:hAnsi="Times New Roman" w:cs="Times New Roman" w:eastAsia="Times New Roman"/>
                <w:color w:val="000000"/>
                <w:sz w:val="24"/>
                <w:szCs w:val="24"/>
              </w:rPr>
              <w:t>32</w:t>
            </w:r>
          </w:p>
        </w:tc>
      </w:tr>
    </w:tbl>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30-33] and the asymptotic optimality of constant policies [15, 16] by quantifying finite-session regret — with overtime included — the marginal value of added schedule complexity, and the boundary positions where that value concentrates.</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[12, 13, 20, 24].</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and the simplicity result is conditional on homogeneous, stationary service and moderate overtime pricing — Section 4.7 shows structured heterogeneity and extreme overtime cost are where richer designs pay. Interruption-aware designs [10] address a complementary realism axis.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34-36].</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 The residual value of slot-by-slot freedom concentrates in a few boundary positions and pays only where service heterogeneity is structured or overtime is dominant.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Creemers S, Lambrecht M. An advanced queueing model to analyze appointment-driven service systems. Computers &amp; Operations Research 2008;36(10):2773–2785. https://doi.org/10.1016/j.cor.2008.12.008.</w:t>
      </w:r>
    </w:p>
    <w:p>
      <w:r>
        <w:rPr>
          <w:rFonts w:ascii="Times New Roman" w:hAnsi="Times New Roman" w:cs="Times New Roman" w:eastAsia="Times New Roman"/>
          <w:color w:val="000000"/>
          <w:sz w:val="24"/>
          <w:szCs w:val="24"/>
        </w:rPr>
        <w:t>[10] Dogru AK, Melouk SH, Çapar İ, Weida TJ. Managing interruptions in appointment schedules via patient notification. Computers &amp; Operations Research 2023;159:106352. https://doi.org/10.1016/j.cor.2023.106352.</w:t>
      </w:r>
    </w:p>
    <w:p>
      <w:r>
        <w:rPr>
          <w:rFonts w:ascii="Times New Roman" w:hAnsi="Times New Roman" w:cs="Times New Roman" w:eastAsia="Times New Roman"/>
          <w:color w:val="000000"/>
          <w:sz w:val="24"/>
          <w:szCs w:val="24"/>
        </w:rPr>
        <w:t>[11] Begen MA, Cao J. Appointment scheduling with a quantile objective. Computers &amp; Operations Research 2021;132:105295. https://doi.org/10.1016/j.cor.2021.105295.</w:t>
      </w:r>
    </w:p>
    <w:p>
      <w:r>
        <w:rPr>
          <w:rFonts w:ascii="Times New Roman" w:hAnsi="Times New Roman" w:cs="Times New Roman" w:eastAsia="Times New Roman"/>
          <w:color w:val="000000"/>
          <w:sz w:val="24"/>
          <w:szCs w:val="24"/>
        </w:rPr>
        <w:t>[12] Zhou S, Yue Q. Appointment scheduling for multi-stage sequential service systems with limited distributional information. Computers &amp; Operations Research 2021;132:105287. https://doi.org/10.1016/j.cor.2021.105287.</w:t>
      </w:r>
    </w:p>
    <w:p>
      <w:r>
        <w:rPr>
          <w:rFonts w:ascii="Times New Roman" w:hAnsi="Times New Roman" w:cs="Times New Roman" w:eastAsia="Times New Roman"/>
          <w:color w:val="000000"/>
          <w:sz w:val="24"/>
          <w:szCs w:val="24"/>
        </w:rPr>
        <w:t>[13]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[14]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[15] Armony M, Atar R, Honnappa H. Asymptotically optimal appointment schedules. Mathematics of Operations Research 2019;44(4):1345–1380. https://doi.org/10.1287/moor.2018.0973.</w:t>
      </w:r>
    </w:p>
    <w:p>
      <w:r>
        <w:rPr>
          <w:rFonts w:ascii="Times New Roman" w:hAnsi="Times New Roman" w:cs="Times New Roman" w:eastAsia="Times New Roman"/>
          <w:color w:val="000000"/>
          <w:sz w:val="24"/>
          <w:szCs w:val="24"/>
        </w:rPr>
        <w:t>[16] Zhou S, Ding Y, Huh WT, Wan G. Constant job-allowance policies for appointment scheduling: performance bounds and numerical analysis. Production and Operations Management 2021;30(7):2211–2231. https://doi.org/10.1111/poms.13362.</w:t>
      </w:r>
    </w:p>
    <w:p>
      <w:r>
        <w:rPr>
          <w:rFonts w:ascii="Times New Roman" w:hAnsi="Times New Roman" w:cs="Times New Roman" w:eastAsia="Times New Roman"/>
          <w:color w:val="000000"/>
          <w:sz w:val="24"/>
          <w:szCs w:val="24"/>
        </w:rPr>
        <w:t>[17]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[18]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[19] Bertsimas D, Sim M. The price of robustness. Operations Research 2004;52(1):35–53. https://doi.org/10.1287/opre.1030.0065.</w:t>
      </w:r>
    </w:p>
    <w:p>
      <w:r>
        <w:rPr>
          <w:rFonts w:ascii="Times New Roman" w:hAnsi="Times New Roman" w:cs="Times New Roman" w:eastAsia="Times New Roman"/>
          <w:color w:val="000000"/>
          <w:sz w:val="24"/>
          <w:szCs w:val="24"/>
        </w:rPr>
        <w:t>[20]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[21] Pinedo ML. Selected scheduling systems. In: Scheduling. Springer US; 2011. p. 611–613. https://doi.org/10.1007/978-1-4614-2361-4_27.</w:t>
      </w:r>
    </w:p>
    <w:p>
      <w:r>
        <w:rPr>
          <w:rFonts w:ascii="Times New Roman" w:hAnsi="Times New Roman" w:cs="Times New Roman" w:eastAsia="Times New Roman"/>
          <w:color w:val="000000"/>
          <w:sz w:val="24"/>
          <w:szCs w:val="24"/>
        </w:rPr>
        <w:t>[22] Soriano A. Comparison of two scheduling systems. Operations Research 1966;14(3):388–397. https://doi.org/10.1287/opre.14.3.388.</w:t>
      </w:r>
    </w:p>
    <w:p>
      <w:r>
        <w:rPr>
          <w:rFonts w:ascii="Times New Roman" w:hAnsi="Times New Roman" w:cs="Times New Roman" w:eastAsia="Times New Roman"/>
          <w:color w:val="000000"/>
          <w:sz w:val="24"/>
          <w:szCs w:val="24"/>
        </w:rPr>
        <w:t>[23]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[24]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[25]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[26]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[27]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[28]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[29]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[30]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[31]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[32]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[33]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[34]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[35] Wang J, Fung RYK. Dynamic appointment scheduling with patient preferences and choices. Industrial Management &amp; Data Systems 2015;115(4):700–717. https://doi.org/10.1108/imds-12-2014-0372.</w:t>
      </w:r>
    </w:p>
    <w:p>
      <w:r>
        <w:rPr>
          <w:rFonts w:ascii="Times New Roman" w:hAnsi="Times New Roman" w:cs="Times New Roman" w:eastAsia="Times New Roman"/>
          <w:color w:val="000000"/>
          <w:sz w:val="24"/>
          <w:szCs w:val="24"/>
        </w:rPr>
        <w:t>[36] Klassen KJ, Yoogalingam R. Appointment system design with interruptions and physician lateness. International Journal of Operations &amp; Production Management 2013;33(4):394–414. https://doi.org/10.1108/01443571311307253.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