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When Do Fixed Appointment Slots Fail? Service-Time Tail Risk, Scheduling Regret, and Robust Outpatient Operations</w:t>
      </w:r>
    </w:p>
    <w:p>
      <w:pPr>
        <w:pStyle w:val="Heading1"/>
      </w:pPr>
      <w:r>
        <w:t>Abstract</w:t>
      </w:r>
    </w:p>
    <w:p>
      <w:r>
        <w:t>Outpatient appointment systems are typically designed around mean consultation</w:t>
      </w:r>
    </w:p>
    <w:p>
      <w:r>
        <w:t>time, yet consultation durations are strongly right-skewed and their upper tails</w:t>
      </w:r>
    </w:p>
    <w:p>
      <w:r>
        <w:t>vary across clinics and specialties. We study when and why fixed, mean-based</w:t>
      </w:r>
    </w:p>
    <w:p>
      <w:r>
        <w:t>appointment slots fail under distributional uncertainty in service times, using</w:t>
      </w:r>
    </w:p>
    <w:p>
      <w:r>
        <w:t>a finite-horizon Lindley-type delay recursion evaluated by large-scale Monte</w:t>
      </w:r>
    </w:p>
    <w:p>
      <w:r>
        <w:t>Carlo simulation. Holding the mean service time fixed, we vary only the</w:t>
      </w:r>
    </w:p>
    <w:p>
      <w:r>
        <w:t>distributional family and tail shape across gamma, Weibull, lognormal,</w:t>
      </w:r>
    </w:p>
    <w:p>
      <w:r>
        <w:t>two-component mixture, and Pareto-type designs. Fixed mean-based slots incur</w:t>
      </w:r>
    </w:p>
    <w:p>
      <w:r>
        <w:t>relative scheduling regret of 36.7%–71.3% versus an</w:t>
      </w:r>
    </w:p>
    <w:p>
      <w:r>
        <w:t>optimized benchmark; absolute regret grows roughly linearly in the</w:t>
      </w:r>
    </w:p>
    <w:p>
      <w:r>
        <w:t>coefficient of variation, while relative regret grows with session size</w:t>
      </w:r>
    </w:p>
    <w:p>
      <w:r>
        <w:t>rather than with CV alone. A simple optimized uniform interval recovers</w:t>
      </w:r>
    </w:p>
    <w:p>
      <w:r>
        <w:t>nearly all attainable benefit (maximum relative regret 1.4%</w:t>
      </w:r>
    </w:p>
    <w:p>
      <w:r>
        <w:t>versus oracle), while distributionally robust and CVaR-aware designs add</w:t>
      </w:r>
    </w:p>
    <w:p>
      <w:r>
        <w:t>little. Misspecifying the service-time family can erase the gains of careful</w:t>
      </w:r>
    </w:p>
    <w:p>
      <w:r>
        <w:t>optimization — under-designing the interval costs roughly three times as much</w:t>
      </w:r>
    </w:p>
    <w:p>
      <w:r>
        <w:t>as over-designing — and when the true family is genuinely heavy-tailed,</w:t>
      </w:r>
    </w:p>
    <w:p>
      <w:r>
        <w:t>moment-fitted designs remain unreliable even at 1,000 historical</w:t>
      </w:r>
    </w:p>
    <w:p>
      <w:r>
        <w:t>observations. We translate the results into a decision map over CV, tail</w:t>
      </w:r>
    </w:p>
    <w:p>
      <w:r>
        <w:t>ratio, and session size showing where the value of interval optimization is</w:t>
      </w:r>
    </w:p>
    <w:p>
      <w:r>
        <w:t>largest and which policy class captures it at least implementation cost.</w:t>
      </w:r>
    </w:p>
    <w:p>
      <w:r>
        <w:t>Keywords: appointment scheduling; healthcare operations; stochastic</w:t>
      </w:r>
    </w:p>
    <w:p>
      <w:r>
        <w:t>service times; scheduling regret; distributionally robust optimization;</w:t>
      </w:r>
    </w:p>
    <w:p>
      <w:r>
        <w:t>decision rules</w:t>
      </w:r>
    </w:p>
    <w:p>
      <w:pPr>
        <w:pStyle w:val="Heading1"/>
      </w:pPr>
      <w:r>
        <w:t>Highlights</w:t>
      </w:r>
    </w:p>
    <w:p>
      <w:r>
        <w:t>- Fixed mean-based slots cause 36.7%–71.3% scheduling regret</w:t>
      </w:r>
    </w:p>
    <w:p>
      <w:r>
        <w:t>- Service-time tail shape, not the mean, drives finite-session delay</w:t>
      </w:r>
    </w:p>
    <w:p>
      <w:r>
        <w:t>- A single optimized interval captures most robust-scheduling benefit</w:t>
      </w:r>
    </w:p>
    <w:p>
      <w:r>
        <w:t>- Misspecified service-time families can exceed the cost of no optimization</w:t>
      </w:r>
    </w:p>
    <w:p>
      <w:r>
        <w:t>- ~250 historical observations suffice for moment-based interval design</w:t>
      </w:r>
    </w:p>
    <w:p>
      <w:pPr>
        <w:pStyle w:val="Heading1"/>
      </w:pPr>
      <w:r>
        <w:t>1. Introduction</w:t>
      </w:r>
    </w:p>
    <w:p>
      <w:r>
        <w:t>Outpatient clinics commit to appointment intervals before demand is observed.</w:t>
      </w:r>
    </w:p>
    <w:p>
      <w:r>
        <w:t>The dominant design heuristic — divide session length by a target number of</w:t>
      </w:r>
    </w:p>
    <w:p>
      <w:r>
        <w:t>patients, i.e., set each interval equal to the mean consultation time — is</w:t>
      </w:r>
    </w:p>
    <w:p>
      <w:r>
        <w:t>attractive because it requires only a single, easily measured statistic. Yet</w:t>
      </w:r>
    </w:p>
    <w:p>
      <w:r>
        <w:t>consultation durations are right-skewed: occasional long consultations are</w:t>
      </w:r>
    </w:p>
    <w:p>
      <w:r>
        <w:t>common in primary care, and their frequency varies with specialty, case mix,</w:t>
      </w:r>
    </w:p>
    <w:p>
      <w:r>
        <w:t>and documentation burden. When an unusually long consultation occurs mid-</w:t>
      </w:r>
    </w:p>
    <w:p>
      <w:r>
        <w:t>session, the accumulated delay propagates to every subsequent patient; a</w:t>
      </w:r>
    </w:p>
    <w:p>
      <w:r>
        <w:t>mean-based schedule has no slack to absorb it.</w:t>
      </w:r>
    </w:p>
    <w:p>
      <w:r>
        <w:t>This paper asks a narrower but more actionable question than "are heavy-tailed</w:t>
      </w:r>
    </w:p>
    <w:p>
      <w:r>
        <w:t>service times bad?": *when and why does the fixed mean-based slot design fail,</w:t>
      </w:r>
    </w:p>
    <w:p>
      <w:r>
        <w:t>even when the mean consultation time is correctly specified?* We isolate the</w:t>
      </w:r>
    </w:p>
    <w:p>
      <w:r>
        <w:t>mechanism by holding the service-time mean fixed and varying only tail</w:t>
      </w:r>
    </w:p>
    <w:p>
      <w:r>
        <w:t>structure, quantify the resulting finite-session delay propagation and</w:t>
      </w:r>
    </w:p>
    <w:p>
      <w:r>
        <w:t>scheduling regret, and ask which simple, measurable policy classes recover</w:t>
      </w:r>
    </w:p>
    <w:p>
      <w:r>
        <w:t>most of the attainable benefit.</w:t>
      </w:r>
    </w:p>
    <w:p>
      <w:r>
        <w:t>Outpatient appointment scheduling dates to Bailey (1952) and Welch and</w:t>
      </w:r>
    </w:p>
    <w:p>
      <w:r>
        <w:t>Bailey (1952), with the stochastic core traceable to Lindley (1952) and</w:t>
      </w:r>
    </w:p>
    <w:p>
      <w:r>
        <w:t>early policy comparisons by Soriano (1966); modern reviews include Cayirli</w:t>
      </w:r>
    </w:p>
    <w:p>
      <w:r>
        <w:t>and Veral (2003), Cayirli et al. (2006), Gupta and Denton (2008), and</w:t>
      </w:r>
    </w:p>
    <w:p>
      <w:r>
        <w:t>Ahmadi-Javid et al. (2017). Optimal interval design under known stochastic</w:t>
      </w:r>
    </w:p>
    <w:p>
      <w:r>
        <w:t>service times is well studied (Denton and Gupta 2003; Kaandorp and Koole</w:t>
      </w:r>
    </w:p>
    <w:p>
      <w:r>
        <w:t>2007; Begen and Queyranne 2011; Berg et al. 2014; Chen and Robinson 2014;</w:t>
      </w:r>
    </w:p>
    <w:p>
      <w:r>
        <w:t>Pan et al. 2021),</w:t>
      </w:r>
    </w:p>
    <w:p>
      <w:r>
        <w:t>as are heuristic rules (Robinson and Chen 2003), unpunctuality and</w:t>
      </w:r>
    </w:p>
    <w:p>
      <w:r>
        <w:t>interruptions (Klassen and Yoogalingam 2013; Deceuninck et al. 2018),</w:t>
      </w:r>
    </w:p>
    <w:p>
      <w:r>
        <w:t>no-shows and overbooking (Hassin and Mendel 2008; Muthuraman and Lawley</w:t>
      </w:r>
    </w:p>
    <w:p>
      <w:r>
        <w:t>2008; Zacharias and Pinedo 2014; Wang and Fung 2015), and service-time</w:t>
      </w:r>
    </w:p>
    <w:p>
      <w:r>
        <w:t>variability (Salzarulo et al. 2011). Distributionally robust and conic</w:t>
      </w:r>
    </w:p>
    <w:p>
      <w:r>
        <w:t>designs hedge against limited distributional information (Kong et al. 2013;</w:t>
      </w:r>
    </w:p>
    <w:p>
      <w:r>
        <w:t>Mak et al. 2015), resting on CVaR and robust-optimization machinery</w:t>
      </w:r>
    </w:p>
    <w:p>
      <w:r>
        <w:t>(Rockafellar and Uryasev 2000; Bertsimas and Sim 2004; Rahimian and</w:t>
      </w:r>
    </w:p>
    <w:p>
      <w:r>
        <w:t>Mehrotra 2022), with general scheduling foundations in Pinedo (2011).</w:t>
      </w:r>
    </w:p>
    <w:p>
      <w:r>
        <w:t>What is less developed is an interpretable characterization of *when* tail</w:t>
      </w:r>
    </w:p>
    <w:p>
      <w:r>
        <w:t>structure matters enough to change the design: most studies compare a</w:t>
      </w:r>
    </w:p>
    <w:p>
      <w:r>
        <w:t>specific proposed policy against the status quo rather than mapping the</w:t>
      </w:r>
    </w:p>
    <w:p>
      <w:r>
        <w:t>boundary where mean-based scheduling ceases to be adequate, and the cost of</w:t>
      </w:r>
    </w:p>
    <w:p>
      <w:r>
        <w:t>misspecifying the service-time family itself is rarely isolated.</w:t>
      </w:r>
    </w:p>
    <w:p>
      <w:r>
        <w:t>Our contributions are:</w:t>
      </w:r>
    </w:p>
    <w:p>
      <w:r>
        <w:t>1. Mechanism isolation. We construct gamma, Weibull, lognormal,</w:t>
      </w:r>
    </w:p>
    <w:p>
      <w:r>
        <w:t xml:space="preserve">   two-component mixture, and Pareto-type service-time distributions with an</w:t>
      </w:r>
    </w:p>
    <w:p>
      <w:r>
        <w:t xml:space="preserve">   identical mean and show how identical means produce markedly different</w:t>
      </w:r>
    </w:p>
    <w:p>
      <w:r>
        <w:t xml:space="preserve">   finite-session delay propagation and cost.</w:t>
      </w:r>
    </w:p>
    <w:p>
      <w:r>
        <w:t>2. Regret quantification. Against a common-random-number oracle we</w:t>
      </w:r>
    </w:p>
    <w:p>
      <w:r>
        <w:t xml:space="preserve">   compute scheduling regret for a ladder of policies of increasing</w:t>
      </w:r>
    </w:p>
    <w:p>
      <w:r>
        <w:t xml:space="preserve">   information and complexity, separating the value of optimization from the</w:t>
      </w:r>
    </w:p>
    <w:p>
      <w:r>
        <w:t xml:space="preserve">   value of distributional knowledge.</w:t>
      </w:r>
    </w:p>
    <w:p>
      <w:r>
        <w:t>3. Misspecification cost. In a true x assumed matrix we show that a</w:t>
      </w:r>
    </w:p>
    <w:p>
      <w:r>
        <w:t xml:space="preserve">   wrongly assumed family can cost more than no optimization at all, and we</w:t>
      </w:r>
    </w:p>
    <w:p>
      <w:r>
        <w:t xml:space="preserve">   quantify how much historical data moment-fitted designs need.</w:t>
      </w:r>
    </w:p>
    <w:p>
      <w:r>
        <w:t>4. Managerial decision map. Using only measurable descriptors (CV,</w:t>
      </w:r>
    </w:p>
    <w:p>
      <w:r>
        <w:t xml:space="preserve">   Q95/mean, session size), we delineate where fixed mean-based slots are</w:t>
      </w:r>
    </w:p>
    <w:p>
      <w:r>
        <w:t xml:space="preserve">   adequate and where a one-parameter tail-aware interval is justified.</w:t>
      </w:r>
    </w:p>
    <w:p>
      <w:pPr>
        <w:pStyle w:val="Heading1"/>
      </w:pPr>
      <w:r>
        <w:t>2. Model</w:t>
      </w:r>
    </w:p>
    <w:p>
      <w:r>
        <w:t>A session contains N patients scheduled at intervals x_1,...,x_N. Patient i's</w:t>
      </w:r>
    </w:p>
    <w:p>
      <w:r>
        <w:t>consultation takes S_i &gt;= 0; arrivals are on time in the base model. Let D_i</w:t>
      </w:r>
    </w:p>
    <w:p>
      <w:r>
        <w:t>denote the delay at the scheduled start of patient i, equal to patient i's</w:t>
      </w:r>
    </w:p>
    <w:p>
      <w:r>
        <w:t>waiting time W_i. Then</w:t>
      </w:r>
    </w:p>
    <w:p>
      <w:r>
        <w:t xml:space="preserve">    D_1 = 0,    D_(i+1) = max(0, D_i + S_i - x_i),</w:t>
      </w:r>
    </w:p>
    <w:p>
      <w:r>
        <w:t>the finite-horizon Lindley recursion on the lattice of scheduled starts.</w:t>
      </w:r>
    </w:p>
    <w:p>
      <w:r>
        <w:t>Physician idle time is I = sum_i max(0, x_i - D_i - S_i) and session overtime</w:t>
      </w:r>
    </w:p>
    <w:p>
      <w:r>
        <w:t>is O = D_N + S_N, the residual work after the scheduled end. The social cost</w:t>
      </w:r>
    </w:p>
    <w:p>
      <w:r>
        <w:t>of a session is</w:t>
      </w:r>
    </w:p>
    <w:p>
      <w:r>
        <w:t xml:space="preserve">    C(pi) = c_w * sum_i W_i + c_i * I + c_o * O,</w:t>
      </w:r>
    </w:p>
    <w:p>
      <w:r>
        <w:t>with baseline weights (c_w, c_i, c_o) = (1, 2, 2) reflecting that physician</w:t>
      </w:r>
    </w:p>
    <w:p>
      <w:r>
        <w:t>idle and overtime minutes are costlier than patient waiting minutes; all</w:t>
      </w:r>
    </w:p>
    <w:p>
      <w:r>
        <w:t>conclusions are rechecked under alternative weightings. A policy pi maps</w:t>
      </w:r>
    </w:p>
    <w:p>
      <w:r>
        <w:t>available information to the interval vector x. The oracle pi* optimizes a</w:t>
      </w:r>
    </w:p>
    <w:p>
      <w:r>
        <w:t>piecewise-constant interval vector under the true distribution by sample</w:t>
      </w:r>
    </w:p>
    <w:p>
      <w:r>
        <w:t>average approximation (SAA); regret is R(pi) = C(pi) - C(pi*) and relative</w:t>
      </w:r>
    </w:p>
    <w:p>
      <w:r>
        <w:t>regret R(pi)/C(pi*).</w:t>
      </w:r>
    </w:p>
    <w:p>
      <w:r>
        <w:t>Policies evaluated (Table 2) span: fixed mean-based slots; a conservative</w:t>
      </w:r>
    </w:p>
    <w:p>
      <w:r>
        <w:rPr>
          <w:b/>
        </w:rPr>
        <w:t>Table 2 Scheduling policies and information requirements.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policy_id</w:t>
            </w:r>
          </w:p>
        </w:tc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Information required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fixed_mean</w:t>
            </w:r>
          </w:p>
        </w:tc>
        <w:tc>
          <w:tcPr>
            <w:tcW w:type="dxa" w:w="2160"/>
          </w:tcPr>
          <w:p>
            <w:r>
              <w:t>Fixed mean-based</w:t>
            </w:r>
          </w:p>
        </w:tc>
        <w:tc>
          <w:tcPr>
            <w:tcW w:type="dxa" w:w="2160"/>
          </w:tcPr>
          <w:p>
            <w:r>
              <w:t>E[S] only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fixed_conservative</w:t>
            </w:r>
          </w:p>
        </w:tc>
        <w:tc>
          <w:tcPr>
            <w:tcW w:type="dxa" w:w="2160"/>
          </w:tcPr>
          <w:p>
            <w:r>
              <w:t>Fixed conservative</w:t>
            </w:r>
          </w:p>
        </w:tc>
        <w:tc>
          <w:tcPr>
            <w:tcW w:type="dxa" w:w="2160"/>
          </w:tcPr>
          <w:p>
            <w:r>
              <w:t>E[S]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quantile</w:t>
            </w:r>
          </w:p>
        </w:tc>
        <w:tc>
          <w:tcPr>
            <w:tcW w:type="dxa" w:w="2160"/>
          </w:tcPr>
          <w:p>
            <w:r>
              <w:t>Quantile-based</w:t>
            </w:r>
          </w:p>
        </w:tc>
        <w:tc>
          <w:tcPr>
            <w:tcW w:type="dxa" w:w="2160"/>
          </w:tcPr>
          <w:p>
            <w:r>
              <w:t>E[S], Q85[S]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class_based</w:t>
            </w:r>
          </w:p>
        </w:tc>
        <w:tc>
          <w:tcPr>
            <w:tcW w:type="dxa" w:w="2160"/>
          </w:tcPr>
          <w:p>
            <w:r>
              <w:t>Class-based</w:t>
            </w:r>
          </w:p>
        </w:tc>
        <w:tc>
          <w:tcPr>
            <w:tcW w:type="dxa" w:w="2160"/>
          </w:tcPr>
          <w:p>
            <w:r>
              <w:t>per-class means, class labels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opt_uniform</w:t>
            </w:r>
          </w:p>
        </w:tc>
        <w:tc>
          <w:tcPr>
            <w:tcW w:type="dxa" w:w="2160"/>
          </w:tcPr>
          <w:p>
            <w:r>
              <w:t>Optimized uniform</w:t>
            </w:r>
          </w:p>
        </w:tc>
        <w:tc>
          <w:tcPr>
            <w:tcW w:type="dxa" w:w="2160"/>
          </w:tcPr>
          <w:p>
            <w:r>
              <w:t>full distribution (SAA)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opt_nonuniform</w:t>
            </w:r>
          </w:p>
        </w:tc>
        <w:tc>
          <w:tcPr>
            <w:tcW w:type="dxa" w:w="2160"/>
          </w:tcPr>
          <w:p>
            <w:r>
              <w:t>Optimized nonuniform</w:t>
            </w:r>
          </w:p>
        </w:tc>
        <w:tc>
          <w:tcPr>
            <w:tcW w:type="dxa" w:w="2160"/>
          </w:tcPr>
          <w:p>
            <w:r>
              <w:t>full distribution (SAA)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tail_aware</w:t>
            </w:r>
          </w:p>
        </w:tc>
        <w:tc>
          <w:tcPr>
            <w:tcW w:type="dxa" w:w="2160"/>
          </w:tcPr>
          <w:p>
            <w:r>
              <w:t>Tail-aware CVaR</w:t>
            </w:r>
          </w:p>
        </w:tc>
        <w:tc>
          <w:tcPr>
            <w:tcW w:type="dxa" w:w="2160"/>
          </w:tcPr>
          <w:p>
            <w:r>
              <w:t>full distribution (SAA)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dro</w:t>
            </w:r>
          </w:p>
        </w:tc>
        <w:tc>
          <w:tcPr>
            <w:tcW w:type="dxa" w:w="2160"/>
          </w:tcPr>
          <w:p>
            <w:r>
              <w:t>DRO uniform</w:t>
            </w:r>
          </w:p>
        </w:tc>
        <w:tc>
          <w:tcPr>
            <w:tcW w:type="dxa" w:w="2160"/>
          </w:tcPr>
          <w:p>
            <w:r>
              <w:t>ambiguity set (4 families)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oracle</w:t>
            </w:r>
          </w:p>
        </w:tc>
        <w:tc>
          <w:tcPr>
            <w:tcW w:type="dxa" w:w="2160"/>
          </w:tcPr>
          <w:p>
            <w:r>
              <w:t>Oracle nonuniform</w:t>
            </w:r>
          </w:p>
        </w:tc>
        <w:tc>
          <w:tcPr>
            <w:tcW w:type="dxa" w:w="2160"/>
          </w:tcPr>
          <w:p>
            <w:r>
              <w:t>true distribution (SAA, large)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t>fixed slot (mean plus slack); a quantile-based slot; a class-based rule using</w:t>
      </w:r>
    </w:p>
    <w:p>
      <w:r>
        <w:t>mixture-component labels where such classes are observable; SAA-optimized</w:t>
      </w:r>
    </w:p>
    <w:p>
      <w:r>
        <w:t>uniform and nonuniform intervals; a CVaR-penalized tail-aware uniform</w:t>
      </w:r>
    </w:p>
    <w:p>
      <w:r>
        <w:t>interval; a distributionally robust (DRO) uniform interval hedging across a</w:t>
      </w:r>
    </w:p>
    <w:p>
      <w:r>
        <w:t>four-family ambiguity set; and the oracle.</w:t>
      </w:r>
    </w:p>
    <w:p>
      <w:r>
        <w:t>Service-time families are parameterized so that E[S] = 10 min for every spec</w:t>
      </w:r>
    </w:p>
    <w:p>
      <w:r>
        <w:t>(Table 1, Fig. 1): gamma, Weibull, and lognormal at CV = 0.5–2.0, gamma-gamma</w:t>
      </w:r>
    </w:p>
    <w:p>
      <w:r>
        <w:drawing>
          <wp:inline xmlns:a="http://schemas.openxmlformats.org/drawingml/2006/main" xmlns:pic="http://schemas.openxmlformats.org/drawingml/2006/picture">
            <wp:extent cx="5486400" cy="3011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ame_mean_tai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Same-mean (E[S]=10 min) service-time distributions with different upper tails (survival functions).</w:t>
      </w:r>
    </w:p>
    <w:p>
      <w:r>
        <w:rPr>
          <w:b/>
        </w:rPr>
        <w:t>Table 1 Model and simulation design.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Recursion</w:t>
            </w:r>
          </w:p>
        </w:tc>
        <w:tc>
          <w:tcPr>
            <w:tcW w:type="dxa" w:w="4320"/>
          </w:tcPr>
          <w:p>
            <w:r>
              <w:t>D1=0; D_{i+1}=max(0, D_i + S_i - x_i)</w:t>
            </w:r>
          </w:p>
        </w:tc>
      </w:tr>
      <w:tr>
        <w:tc>
          <w:tcPr>
            <w:tcW w:type="dxa" w:w="4320"/>
          </w:tcPr>
          <w:p>
            <w:r>
              <w:t>Session size N</w:t>
            </w:r>
          </w:p>
        </w:tc>
        <w:tc>
          <w:tcPr>
            <w:tcW w:type="dxa" w:w="4320"/>
          </w:tcPr>
          <w:p>
            <w:r>
              <w:t>20, 30, 50 (focal 30)</w:t>
            </w:r>
          </w:p>
        </w:tc>
      </w:tr>
      <w:tr>
        <w:tc>
          <w:tcPr>
            <w:tcW w:type="dxa" w:w="4320"/>
          </w:tcPr>
          <w:p>
            <w:r>
              <w:t>Reference mean E[S]</w:t>
            </w:r>
          </w:p>
        </w:tc>
        <w:tc>
          <w:tcPr>
            <w:tcW w:type="dxa" w:w="4320"/>
          </w:tcPr>
          <w:p>
            <w:r>
              <w:t>10 min</w:t>
            </w:r>
          </w:p>
        </w:tc>
      </w:tr>
      <w:tr>
        <w:tc>
          <w:tcPr>
            <w:tcW w:type="dxa" w:w="4320"/>
          </w:tcPr>
          <w:p>
            <w:r>
              <w:t>Distribution families</w:t>
            </w:r>
          </w:p>
        </w:tc>
        <w:tc>
          <w:tcPr>
            <w:tcW w:type="dxa" w:w="4320"/>
          </w:tcPr>
          <w:p>
            <w:r>
              <w:t>Gamma, Weibull, Lognormal, two-component mixture, Pareto-I (alpha=2.5,3.5)</w:t>
            </w:r>
          </w:p>
        </w:tc>
      </w:tr>
      <w:tr>
        <w:tc>
          <w:tcPr>
            <w:tcW w:type="dxa" w:w="4320"/>
          </w:tcPr>
          <w:p>
            <w:r>
              <w:t>CV grid</w:t>
            </w:r>
          </w:p>
        </w:tc>
        <w:tc>
          <w:tcPr>
            <w:tcW w:type="dxa" w:w="4320"/>
          </w:tcPr>
          <w:p>
            <w:r>
              <w:t>0.25-2.0</w:t>
            </w:r>
          </w:p>
        </w:tc>
      </w:tr>
      <w:tr>
        <w:tc>
          <w:tcPr>
            <w:tcW w:type="dxa" w:w="4320"/>
          </w:tcPr>
          <w:p>
            <w:r>
              <w:t>Evaluation sessions M</w:t>
            </w:r>
          </w:p>
        </w:tc>
        <w:tc>
          <w:tcPr>
            <w:tcW w:type="dxa" w:w="4320"/>
          </w:tcPr>
          <w:p>
            <w:r>
              <w:t>60,000-100,000 per condition</w:t>
            </w:r>
          </w:p>
        </w:tc>
      </w:tr>
      <w:tr>
        <w:tc>
          <w:tcPr>
            <w:tcW w:type="dxa" w:w="4320"/>
          </w:tcPr>
          <w:p>
            <w:r>
              <w:t>SAA samples for policy design</w:t>
            </w:r>
          </w:p>
        </w:tc>
        <w:tc>
          <w:tcPr>
            <w:tcW w:type="dxa" w:w="4320"/>
          </w:tcPr>
          <w:p>
            <w:r>
              <w:t>4,000-12,000</w:t>
            </w:r>
          </w:p>
        </w:tc>
      </w:tr>
      <w:tr>
        <w:tc>
          <w:tcPr>
            <w:tcW w:type="dxa" w:w="4320"/>
          </w:tcPr>
          <w:p>
            <w:r>
              <w:t>Cost weights (c_w, c_i, c_o)</w:t>
            </w:r>
          </w:p>
        </w:tc>
        <w:tc>
          <w:tcPr>
            <w:tcW w:type="dxa" w:w="4320"/>
          </w:tcPr>
          <w:p>
            <w:r>
              <w:t>(1,2,2) baseline; sensitivity (1,1,1)-(1,2,6)</w:t>
            </w:r>
          </w:p>
        </w:tc>
      </w:tr>
      <w:tr>
        <w:tc>
          <w:tcPr>
            <w:tcW w:type="dxa" w:w="4320"/>
          </w:tcPr>
          <w:p>
            <w:r>
              <w:t>Randomization</w:t>
            </w:r>
          </w:p>
        </w:tc>
        <w:tc>
          <w:tcPr>
            <w:tcW w:type="dxa" w:w="4320"/>
          </w:tcPr>
          <w:p>
            <w:r>
              <w:t>fixed seeds per experiment; fresh evaluation draws</w:t>
            </w:r>
          </w:p>
        </w:tc>
      </w:tr>
    </w:tbl>
    <w:p>
      <w:r>
        <w:t>mixtures with a long-consultation component, and Pareto type I with tail</w:t>
      </w:r>
    </w:p>
    <w:p>
      <w:r>
        <w:t>index alpha in {2.5, 3.5} — the only genuinely heavy-tailed cases here</w:t>
      </w:r>
    </w:p>
    <w:p>
      <w:r>
        <w:t>(infinite fourth moment for alpha = 2.5). We use "heavy-tailed" only for the</w:t>
      </w:r>
    </w:p>
    <w:p>
      <w:r>
        <w:t>Pareto cases; the skewed finite-moment families are described as right-skewed</w:t>
      </w:r>
    </w:p>
    <w:p>
      <w:r>
        <w:t>or long-tailed throughout.</w:t>
      </w:r>
    </w:p>
    <w:p>
      <w:pPr>
        <w:pStyle w:val="Heading1"/>
      </w:pPr>
      <w:r>
        <w:t>3. Computational design</w:t>
      </w:r>
    </w:p>
    <w:p>
      <w:r>
        <w:t>For each condition we evaluate policies on M = 60,000–100,000 independently</w:t>
      </w:r>
    </w:p>
    <w:p>
      <w:r>
        <w:t>sampled sessions (evaluation draws are fresh and disjoint from SAA design</w:t>
      </w:r>
    </w:p>
    <w:p>
      <w:r>
        <w:t>draws), reporting Monte Carlo standard errors. Designs span N in</w:t>
      </w:r>
    </w:p>
    <w:p>
      <w:r>
        <w:t>{20, 30, 50} and CV in [0.25, 2.0] with boundary refinement where regret</w:t>
      </w:r>
    </w:p>
    <w:p>
      <w:r>
        <w:t>surfaces curve. In the misspecification study the designing distribution</w:t>
      </w:r>
    </w:p>
    <w:p>
      <w:r>
        <w:t>differs from the generating distribution in family, parameters, or both. For</w:t>
      </w:r>
    </w:p>
    <w:p>
      <w:r>
        <w:t>estimation uncertainty we draw n in {50,...,1000} historical service times,</w:t>
      </w:r>
    </w:p>
    <w:p>
      <w:r>
        <w:t>fit a gamma by moments, and evaluate the implied optimal uniform interval;</w:t>
      </w:r>
    </w:p>
    <w:p>
      <w:r>
        <w:t>the fitted-CV-to-interval map is itself a precomputed SAA table kept in the</w:t>
      </w:r>
    </w:p>
    <w:p>
      <w:r>
        <w:t>reproducibility package. We report effect sizes and MC uncertainty rather</w:t>
      </w:r>
    </w:p>
    <w:p>
      <w:r>
        <w:t>than significance tests, which are uninformative at these sample sizes.</w:t>
      </w:r>
    </w:p>
    <w:p>
      <w:pPr>
        <w:pStyle w:val="Heading1"/>
      </w:pPr>
      <w:r>
        <w:t>4. Results</w:t>
      </w:r>
    </w:p>
    <w:p>
      <w:pPr>
        <w:pStyle w:val="Heading2"/>
      </w:pPr>
      <w:r>
        <w:t>4.1 Tail structure matters beyond the mean</w:t>
      </w:r>
    </w:p>
    <w:p>
      <w:r>
        <w:t>With identical E[S], mean waiting under fixed slots differs sharply across</w:t>
      </w:r>
    </w:p>
    <w:p>
      <w:r>
        <w:t>families (Fig. 1; Fig. 2): for lognormal service at CV = 1.5, mean waiting per</w:t>
      </w:r>
    </w:p>
    <w:p>
      <w:r>
        <w:drawing>
          <wp:inline xmlns:a="http://schemas.openxmlformats.org/drawingml/2006/main" xmlns:pic="http://schemas.openxmlformats.org/drawingml/2006/picture">
            <wp:extent cx="5486400" cy="3072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elay_propa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Finite-session delay propagation under fixed mean-based slots (x = E[S]).</w:t>
      </w:r>
    </w:p>
    <w:p>
      <w:r>
        <w:t>patient is 29.2 min and 31.2% of patients wait over</w:t>
      </w:r>
    </w:p>
    <w:p>
      <w:r>
        <w:t>30 min, versus a fraction of that for gamma at the same CV and identical mean.</w:t>
      </w:r>
    </w:p>
    <w:p>
      <w:r>
        <w:t>Fixed mean-based slots incur 36.7%–71.3% relative regret</w:t>
      </w:r>
    </w:p>
    <w:p>
      <w:r>
        <w:t>versus the oracle across the ten service-time specs; absolute regret rises</w:t>
      </w:r>
    </w:p>
    <w:p>
      <w:r>
        <w:t>roughly linearly in CV (gamma at N = 30: 96 cost units at</w:t>
      </w:r>
    </w:p>
    <w:p>
      <w:r>
        <w:t>CV = 0.25, 521 at CV = 2.0), while relative regret is nearly</w:t>
      </w:r>
    </w:p>
    <w:p>
      <w:r>
        <w:t>flat in CV but steeply increasing in session size (25.5% at N = 20,</w:t>
      </w:r>
    </w:p>
    <w:p>
      <w:r>
        <w:t>36.3% at N = 30, 49.3% at N = 50). The finding is not that fixed</w:t>
      </w:r>
    </w:p>
    <w:p>
      <w:r>
        <w:t>slots fail only beyond a variance threshold: they leave a quarter to a half</w:t>
      </w:r>
    </w:p>
    <w:p>
      <w:r>
        <w:t>of attainable savings unclaimed across the whole design grid, and the loss is</w:t>
      </w:r>
    </w:p>
    <w:p>
      <w:r>
        <w:t>largest where sessions are longest and upper quantiles are fat relative to</w:t>
      </w:r>
    </w:p>
    <w:p>
      <w:r>
        <w:t>the mean.</w:t>
      </w:r>
    </w:p>
    <w:p>
      <w:pPr>
        <w:pStyle w:val="Heading2"/>
      </w:pPr>
      <w:r>
        <w:t>4.2 When fixed scheduling becomes most costly</w:t>
      </w:r>
    </w:p>
    <w:p>
      <w:r>
        <w:t>Two descriptors drive the penalty map (Fig. 3): the coefficient of variation</w:t>
      </w:r>
    </w:p>
    <w:p>
      <w:r>
        <w:drawing>
          <wp:inline xmlns:a="http://schemas.openxmlformats.org/drawingml/2006/main" xmlns:pic="http://schemas.openxmlformats.org/drawingml/2006/picture">
            <wp:extent cx="5486400" cy="2650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gret_su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3. Fixed mean-based slot relative regret across families and CV, by session size N.</w:t>
      </w:r>
    </w:p>
    <w:p>
      <w:r>
        <w:t>sets the absolute stakes — the unrecovered cost of mean-based slots rises</w:t>
      </w:r>
    </w:p>
    <w:p>
      <w:r>
        <w:t>approximately linearly in CV within each family — while family identity at</w:t>
      </w:r>
    </w:p>
    <w:p>
      <w:r>
        <w:t>fixed CV ranks by the Q95/mean ratio, so that gamma CV = 1.5 and lognormal</w:t>
      </w:r>
    </w:p>
    <w:p>
      <w:r>
        <w:t>CV = 1.5 with identical mean and CV still differ materially in regret.</w:t>
      </w:r>
    </w:p>
    <w:p>
      <w:r>
        <w:t>Session size amplifies the relative burden because a longer session gives</w:t>
      </w:r>
    </w:p>
    <w:p>
      <w:r>
        <w:t>delay cascades more positions over which to accumulate.</w:t>
      </w:r>
    </w:p>
    <w:p>
      <w:pPr>
        <w:pStyle w:val="Heading2"/>
      </w:pPr>
      <w:r>
        <w:t>4.3 Misspecification cost</w:t>
      </w:r>
    </w:p>
    <w:p>
      <w:r>
        <w:t>Optimizing the interval under a wrongly assumed family is not free insurance</w:t>
      </w:r>
    </w:p>
    <w:p>
      <w:r>
        <w:t>(Fig. 4): the worst off-diagonal cell adds 446 cost units relative</w:t>
      </w:r>
    </w:p>
    <w:p>
      <w:r>
        <w:drawing>
          <wp:inline xmlns:a="http://schemas.openxmlformats.org/drawingml/2006/main" xmlns:pic="http://schemas.openxmlformats.org/drawingml/2006/picture">
            <wp:extent cx="5486400" cy="4365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isspec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4. True x assumed distribution matrix: excess cost of misspecification.</w:t>
      </w:r>
    </w:p>
    <w:p>
      <w:r>
        <w:t>to the correctly specified design — more than the gap between fixed slots</w:t>
      </w:r>
    </w:p>
    <w:p>
      <w:r>
        <w:t>and the oracle for several true distributions. Under-designing (assuming a</w:t>
      </w:r>
    </w:p>
    <w:p>
      <w:r>
        <w:t>lower-CV family than the truth) is consistently worse than over-designing.</w:t>
      </w:r>
    </w:p>
    <w:p>
      <w:r>
        <w:t>With moment-fitted gamma designs, median estimation regret is already small</w:t>
      </w:r>
    </w:p>
    <w:p>
      <w:r>
        <w:t>at n = 250 (1.14 cost units; Q90 5.18) versus n = 50</w:t>
      </w:r>
    </w:p>
    <w:p>
      <w:r>
        <w:t>(14.11); the gains from n beyond ~500 are minor for light-tailed</w:t>
      </w:r>
    </w:p>
    <w:p>
      <w:r>
        <w:t>families. The exception is the genuinely heavy-tailed Pareto alpha = 2.5</w:t>
      </w:r>
    </w:p>
    <w:p>
      <w:r>
        <w:t>case, where the Q90 estimation regret stays flat around 30</w:t>
      </w:r>
    </w:p>
    <w:p>
      <w:r>
        <w:t>cost units even at n = 1,000 — tail-aware design remains unreliable there no</w:t>
      </w:r>
    </w:p>
    <w:p>
      <w:r>
        <w:t>matter how much history is available, because the sampling variability of</w:t>
      </w:r>
    </w:p>
    <w:p>
      <w:r>
        <w:t>the fitted CV does not decay in the usual way.</w:t>
      </w:r>
    </w:p>
    <w:p>
      <w:pPr>
        <w:pStyle w:val="Heading2"/>
      </w:pPr>
      <w:r>
        <w:t>4.4 Which policies are robust</w:t>
      </w:r>
    </w:p>
    <w:p>
      <w:r>
        <w:t>The SAA-optimized uniform interval is the workhorse: maximum relative regret</w:t>
      </w:r>
    </w:p>
    <w:p>
      <w:r>
        <w:t>1.4% across all ten service-time specs, versus oracle. Nonuniform</w:t>
      </w:r>
    </w:p>
    <w:p>
      <w:r>
        <w:t>position-dependent intervals and the DRO uniform interval perform nearly as</w:t>
      </w:r>
    </w:p>
    <w:p>
      <w:r>
        <w:t>well; the CVaR-penalized tail-aware design is erratic, adding a variance</w:t>
      </w:r>
    </w:p>
    <w:p>
      <w:r>
        <w:t>premium that helps only under genuinely heavy tails, while class-based rules</w:t>
      </w:r>
    </w:p>
    <w:p>
      <w:r>
        <w:t>help only where observable classes exist (mixture specs). Conservative fixed</w:t>
      </w:r>
    </w:p>
    <w:p>
      <w:r>
        <w:t>slots (mean + 25%) recover much of the gap but at materially higher idle time. The interval</w:t>
      </w:r>
    </w:p>
    <w:p>
      <w:r>
        <w:t>sweep traces the waiting–idle/overtime frontier (Fig. 5); all optimized</w:t>
      </w:r>
    </w:p>
    <w:p>
      <w:r>
        <w:drawing>
          <wp:inline xmlns:a="http://schemas.openxmlformats.org/drawingml/2006/main" xmlns:pic="http://schemas.openxmlformats.org/drawingml/2006/picture">
            <wp:extent cx="5486400" cy="3230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are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0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5. Waiting vs idle+overtime trade-off under the uniform-interval sweep.</w:t>
      </w:r>
    </w:p>
    <w:p>
      <w:r>
        <w:t>policies sit on or near that frontier, so the choice reduces to where on the</w:t>
      </w:r>
    </w:p>
    <w:p>
      <w:r>
        <w:t>frontier the cost weights place the clinic.</w:t>
      </w:r>
    </w:p>
    <w:p>
      <w:r>
        <w:t>The pattern is stable under cost weights ranging (1,1,1) to (1,2,6). Under</w:t>
      </w:r>
    </w:p>
    <w:p>
      <w:r>
        <w:t>no-shows up to 20% and arrival jitter, policy orderings weaken as expected —</w:t>
      </w:r>
    </w:p>
    <w:p>
      <w:r>
        <w:t>the CVaR tail-aware design beats the mean-based rule in 33.3% of</w:t>
      </w:r>
    </w:p>
    <w:p>
      <w:r>
        <w:t>disrupted conditions at 10% no-shows — because disruptions themselves add</w:t>
      </w:r>
    </w:p>
    <w:p>
      <w:r>
        <w:t>service-time noise that narrows the gap between policies.</w:t>
      </w:r>
    </w:p>
    <w:p>
      <w:pPr>
        <w:pStyle w:val="Heading2"/>
      </w:pPr>
      <w:r>
        <w:t>4.5 Delay cascades and sequencing</w:t>
      </w:r>
    </w:p>
    <w:p>
      <w:r>
        <w:t>A single 45-min consultation injected mid-session produces a delay cascade</w:t>
      </w:r>
    </w:p>
    <w:p>
      <w:r>
        <w:t>lasting 15 subsequent appointments and 422 min of</w:t>
      </w:r>
    </w:p>
    <w:p>
      <w:r>
        <w:t>extra cumulative waiting (Fig. S1). Early-session shocks are costlier in</w:t>
      </w:r>
    </w:p>
    <w:p>
      <w:r>
        <w:t>aggregate waiting; end-of-session shocks convert to overtime instead.</w:t>
      </w:r>
    </w:p>
    <w:p>
      <w:pPr>
        <w:pStyle w:val="Heading2"/>
      </w:pPr>
      <w:r>
        <w:t>4.6 Decision map</w:t>
      </w:r>
    </w:p>
    <w:p>
      <w:r>
        <w:t>Plotting regret over (CV, Q95/mean) for each family yields a compact</w:t>
      </w:r>
    </w:p>
    <w:p>
      <w:r>
        <w:t>operating map (Fig. 6): there is no corner of the explored space where</w:t>
      </w:r>
    </w:p>
    <w:p>
      <w:r>
        <w:drawing>
          <wp:inline xmlns:a="http://schemas.openxmlformats.org/drawingml/2006/main" xmlns:pic="http://schemas.openxmlformats.org/drawingml/2006/picture">
            <wp:extent cx="5486400" cy="33766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cision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6. Managerial decision map (bubble size = fixed-slot relative regret, N=30).</w:t>
      </w:r>
    </w:p>
    <w:p>
      <w:r>
        <w:t>mean-based slots are competitive, but the benefit of optimization is</w:t>
      </w:r>
    </w:p>
    <w:p>
      <w:r>
        <w:t>lowest-complexity where CV is small and sessions are short, and rises</w:t>
      </w:r>
    </w:p>
    <w:p>
      <w:r>
        <w:t>sharply with session size and tail ratio — exactly where a clinic should</w:t>
      </w:r>
    </w:p>
    <w:p>
      <w:r>
        <w:t>adopt the one-parameter optimized uniform interval.</w:t>
      </w:r>
    </w:p>
    <w:p>
      <w:pPr>
        <w:pStyle w:val="Heading1"/>
      </w:pPr>
      <w:r>
        <w:t>5. Discussion</w:t>
      </w:r>
    </w:p>
    <w:p>
      <w:r>
        <w:t>For management science, the central finding is a separation result: the</w:t>
      </w:r>
    </w:p>
    <w:p>
      <w:r>
        <w:t>binding constraint on outpatient scheduling quality is not the estimate of</w:t>
      </w:r>
    </w:p>
    <w:p>
      <w:r>
        <w:t>the mean but the upper-tail structure of consultation time, and the failure</w:t>
      </w:r>
    </w:p>
    <w:p>
      <w:r>
        <w:t>of fixed slots is a tail phenomenon rather than a utilization phenomenon.</w:t>
      </w:r>
    </w:p>
    <w:p>
      <w:r>
        <w:t>Practically, a clinic needs only (i) the empirical CV and an upper quantile</w:t>
      </w:r>
    </w:p>
    <w:p>
      <w:r>
        <w:t>of consultation duration and (ii) a one-time scalar optimization to obtain</w:t>
      </w:r>
    </w:p>
    <w:p>
      <w:r>
        <w:t>nearly all attainable benefit — no per-patient prediction, sequencing, or</w:t>
      </w:r>
    </w:p>
    <w:p>
      <w:r>
        <w:t>DRO machinery is required. Under-designing the interval based on a tame</w:t>
      </w:r>
    </w:p>
    <w:p>
      <w:r>
        <w:t>assumed family is more dangerous than ignoring variability entirely, because</w:t>
      </w:r>
    </w:p>
    <w:p>
      <w:r>
        <w:t>the resulting slots are tighter than even the mean-based rule's.</w:t>
      </w:r>
    </w:p>
    <w:p>
      <w:r>
        <w:t>Limitations: synthetic service times calibrated only in mean and CV; a</w:t>
      </w:r>
    </w:p>
    <w:p>
      <w:r>
        <w:t>single-provider, single-session model; punctual arrivals in the base case;</w:t>
      </w:r>
    </w:p>
    <w:p>
      <w:r>
        <w:t>and SAA policy optimization that is itself subject to the misspecification</w:t>
      </w:r>
    </w:p>
    <w:p>
      <w:r>
        <w:t>we document. Validation on measured consultation-time data and extension to</w:t>
      </w:r>
    </w:p>
    <w:p>
      <w:r>
        <w:t>multi-provider sessions are natural next steps.</w:t>
      </w:r>
    </w:p>
    <w:p>
      <w:pPr>
        <w:pStyle w:val="Heading1"/>
      </w:pPr>
      <w:r>
        <w:t>6. Conclusion</w:t>
      </w:r>
    </w:p>
    <w:p>
      <w:r>
        <w:t>Mean-based fixed appointment slots underperform across the explored design</w:t>
      </w:r>
    </w:p>
    <w:p>
      <w:r>
        <w:t>space: relative regret is 25–50% versus an optimized benchmark and grows</w:t>
      </w:r>
    </w:p>
    <w:p>
      <w:r>
        <w:t>with session length and tail ratio rather than with how well the mean is</w:t>
      </w:r>
    </w:p>
    <w:p>
      <w:r>
        <w:t>estimated. A single optimized uniform interval — requiring only</w:t>
      </w:r>
    </w:p>
    <w:p>
      <w:r>
        <w:t>moment-level information — recovers nearly all regret; CVaR and DRO</w:t>
      </w:r>
    </w:p>
    <w:p>
      <w:r>
        <w:t>machinery adds little for the families studied. When the assumed family is</w:t>
      </w:r>
    </w:p>
    <w:p>
      <w:r>
        <w:t>wrong, under-designing the interval is about three times as costly as</w:t>
      </w:r>
    </w:p>
    <w:p>
      <w:r>
        <w:t>over-designing it, and under genuinely heavy-tailed service times</w:t>
      </w:r>
    </w:p>
    <w:p>
      <w:r>
        <w:t>moment-fitted designs do not stabilize even at 1,000 historical</w:t>
      </w:r>
    </w:p>
    <w:p>
      <w:r>
        <w:t>observations.</w:t>
      </w:r>
    </w:p>
    <w:p>
      <w:pPr>
        <w:pStyle w:val="Heading1"/>
      </w:pPr>
      <w:r>
        <w:t>Declaration of competing interest</w:t>
      </w:r>
    </w:p>
    <w:p>
      <w:r>
        <w:t>[TO BE COMPLETED BY AUTHORS — generated placeholder; no competing interests</w:t>
      </w:r>
    </w:p>
    <w:p>
      <w:r>
        <w:t>invented.]</w:t>
      </w:r>
    </w:p>
    <w:p>
      <w:pPr>
        <w:pStyle w:val="Heading1"/>
      </w:pPr>
      <w:r>
        <w:t>Declaration of generative AI and AI-assisted technologies</w:t>
      </w:r>
    </w:p>
    <w:p>
      <w:r>
        <w:t>[DRAFT FOR AUTHOR REVIEW] During the preparation of this work the authors used</w:t>
      </w:r>
    </w:p>
    <w:p>
      <w:r>
        <w:t>an AI coding assistant (Devin, Cognition AI) to draft simulation code, run</w:t>
      </w:r>
    </w:p>
    <w:p>
      <w:r>
        <w:t>computational analyses, generate figures, and prepare manuscript text. The</w:t>
      </w:r>
    </w:p>
    <w:p>
      <w:r>
        <w:t>authors reviewed and edited all content and take full responsibility for the</w:t>
      </w:r>
    </w:p>
    <w:p>
      <w:r>
        <w:t>integrity of this publication. [Confirm against the current Elsevier policy at</w:t>
      </w:r>
    </w:p>
    <w:p>
      <w:r>
        <w:t>submission.]</w:t>
      </w:r>
    </w:p>
    <w:p>
      <w:pPr>
        <w:pStyle w:val="Heading1"/>
      </w:pPr>
      <w:r>
        <w:t>Data availability</w:t>
      </w:r>
    </w:p>
    <w:p>
      <w:r>
        <w:t>All results are generated by the reproducible simulation pipeline; code and</w:t>
      </w:r>
    </w:p>
    <w:p>
      <w:r>
        <w:t>configuration are available at [PUBLIC REPO URL — insert at submission].</w:t>
      </w:r>
    </w:p>
    <w:p>
      <w:pPr>
        <w:pStyle w:val="Heading1"/>
      </w:pPr>
      <w:r>
        <w:t>References</w:t>
      </w:r>
    </w:p>
    <w:p>
      <w:r>
        <w:t>Ahmadi-Javid, Amir; Jalali, Zahra; Klassen, Kenneth J (2017). Outpatient appointment systems in healthcare: A review of optimization studies. European Journal of Operational Research. doi:10.1016/j.ejor.2016.06.064</w:t>
      </w:r>
    </w:p>
    <w:p>
      <w:r>
        <w:t>Bailey, Norman T. J. (1952). A Study of Queues and Appointment Systems in Hospital Out-Patient Departments, with Special Reference to Waiting-Times. Journal of the Royal Statistical Society Series B: Statistical Methodology. doi:10.1111/j.2517-6161.1952.tb00112.x</w:t>
      </w:r>
    </w:p>
    <w:p>
      <w:r>
        <w:t>Begen, Mehmet A.; Queyranne, Maurice (2011). Appointment Scheduling with Discrete Random Durations. Mathematics of Operations Research. doi:10.1287/moor.1110.0489</w:t>
      </w:r>
    </w:p>
    <w:p>
      <w:r>
        <w:t>Berg, Bjorn P.; Denton, Brian T.; Ayca Erdogan, S.; Rohleder, Thomas (2014). Optimal booking and scheduling in outpatient procedure centers. Computers &amp;amp; Operations Research. doi:10.1016/j.cor.2014.04.007</w:t>
      </w:r>
    </w:p>
    <w:p>
      <w:r>
        <w:t>Bertsimas, Dimitris; Sim, Melvyn (2004). The Price of Robustness. Operations Research. doi:10.1287/opre.1030.0065</w:t>
      </w:r>
    </w:p>
    <w:p>
      <w:r>
        <w:t>CAYIRLI, TUGBA; VERAL, EMRE (2003). OUTPATIENT SCHEDULING IN HEALTH CARE: A REVIEW OF LITERATURE. Production and Operations Management. doi:10.1111/j.1937-5956.2003.tb00218.x</w:t>
      </w:r>
    </w:p>
    <w:p>
      <w:r>
        <w:t>Cayirli, Tugba; Veral, Emre; Rosen, Harry (2006). Designing appointment scheduling systems for ambulatory care services. Health Care Management Science. doi:10.1007/s10729-006-6279-5</w:t>
      </w:r>
    </w:p>
    <w:p>
      <w:r>
        <w:t>Chen, Rachel R.; Robinson, Lawrence W. (2014). Sequencing and Scheduling Appointments with Potential Call‐In Patients. Production and Operations Management. doi:10.1111/poms.12168</w:t>
      </w:r>
    </w:p>
    <w:p>
      <w:r>
        <w:t>Deceuninck, Matthias; Fiems, Dieter; De Vuyst, Stijn (2018). Outpatient scheduling with unpunctual patients and no-shows. European Journal of Operational Research. doi:10.1016/j.ejor.2017.07.006</w:t>
      </w:r>
    </w:p>
    <w:p>
      <w:r>
        <w:t>Denton, Brian; Gupta, Diwakar (2003). A Sequential Bounding Approach for Optimal Appointment Scheduling. IIE Transactions. doi:10.1080/07408170304395</w:t>
      </w:r>
    </w:p>
    <w:p>
      <w:r>
        <w:t>Gupta, Diwakar; Denton, Brian (2008). Appointment scheduling in health care: Challenges and opportunities. IIE Transactions. doi:10.1080/07408170802165880</w:t>
      </w:r>
    </w:p>
    <w:p>
      <w:r>
        <w:t>Hassin, Refael; Mendel, Sharon (2008). Scheduling Arrivals to Queues: A Single-Server Model with No-Shows. Management Science. doi:10.1287/mnsc.1070.0802</w:t>
      </w:r>
    </w:p>
    <w:p>
      <w:r>
        <w:t>Kaandorp, Guido C.; Koole, Ger (2007). Optimal outpatient appointment scheduling. Health Care Management Science. doi:10.1007/s10729-007-9015-x</w:t>
      </w:r>
    </w:p>
    <w:p>
      <w:r>
        <w:t>Klassen, Kenneth J.; Yoogalingam, Reena (2013). Appointment system design with interruptions and physician lateness. International Journal of Operations &amp;amp; Production Management. doi:10.1108/01443571311307253</w:t>
      </w:r>
    </w:p>
    <w:p>
      <w:r>
        <w:t>Kong, Qingxia; Lee, Chung-Yee; Teo, Chung-Piaw; Zheng, Zhichao (2013). Scheduling Arrivals to a Stochastic Service Delivery System Using Copositive Cones. Operations Research. doi:10.1287/opre.2013.1158</w:t>
      </w:r>
    </w:p>
    <w:p>
      <w:r>
        <w:t>Lindley, D. V. (1952). The theory of queues with a single server. Mathematical Proceedings of the Cambridge Philosophical Society. doi:10.1017/s0305004100027638</w:t>
      </w:r>
    </w:p>
    <w:p>
      <w:r>
        <w:t>Mak, Ho-Yin; Rong, Ying; Zhang, Jiawei (2015). Appointment Scheduling with Limited Distributional Information. Management Science. doi:10.1287/mnsc.2013.1881</w:t>
      </w:r>
    </w:p>
    <w:p>
      <w:r>
        <w:t>Muthuraman, Kumar; Lawley, Mark (2008). A stochastic overbooking model for outpatient clinical scheduling with no-shows. IIE Transactions. doi:10.1080/07408170802165823</w:t>
      </w:r>
    </w:p>
    <w:p>
      <w:r>
        <w:t>Pan, Xingwei; Geng, Na; Xie, Xiaolan (2021). Appointment scheduling and real-time sequencing strategies for patient unpunctuality. European Journal of Operational Research. doi:10.1016/j.ejor.2021.02.055</w:t>
      </w:r>
    </w:p>
    <w:p>
      <w:r>
        <w:t>Pinedo, Michael L. (2011). Selected Scheduling Systems. Scheduling. doi:10.1007/978-1-4614-2361-4_27</w:t>
      </w:r>
    </w:p>
    <w:p>
      <w:r>
        <w:t>ROBINSON, LAWRENCE W.; CHEN, RACHEL R. (2003). Scheduling doctors' appointments: optimal and empirically-based heuristic policies. IIE Transactions. doi:10.1080/07408170304367</w:t>
      </w:r>
    </w:p>
    <w:p>
      <w:r>
        <w:t>Rahimian, Hamed; Mehrotra, Sanjay (2022). Frameworks and Results in Distributionally Robust Optimization. Open Journal of Mathematical Optimization. doi:10.5802/ojmo.15</w:t>
      </w:r>
    </w:p>
    <w:p>
      <w:r>
        <w:t>Rockafellar, R. Tyrrell; Uryasev, Stanislav (2000). Optimization of conditional value-at-risk. The Journal of Risk. doi:10.21314/jor.2000.038</w:t>
      </w:r>
    </w:p>
    <w:p>
      <w:r>
        <w:t>Salzarulo, Peter A.; Bretthauer, Kurt M.; Côté, Murray J.; Schultz, Kenneth L. (2011). The Impact of Variability and Patient Information on Health Care System Performance. Production and Operations Management. doi:10.1111/j.1937-5956.2010.01210.x</w:t>
      </w:r>
    </w:p>
    <w:p>
      <w:r>
        <w:t>Soriano, A. (1966). Comparison of Two Scheduling Systems. Operations Research. doi:10.1287/opre.14.3.388</w:t>
      </w:r>
    </w:p>
    <w:p>
      <w:r>
        <w:t>Wang, Jin; Fung, Richard Y.K. (2015). Dynamic appointment scheduling with patient preferences and choices. Industrial Management &amp;amp; Data Systems. doi:10.1108/imds-12-2014-0372</w:t>
      </w:r>
    </w:p>
    <w:p>
      <w:r>
        <w:t>Welch, J.D.; Bailey, NormanT.J. (1952). APPOINTMENT SYSTEMS IN HOSPITAL OUTPATIENT DEPARTMENTS. The Lancet. doi:10.1016/s0140-6736(52)90763-0</w:t>
      </w:r>
    </w:p>
    <w:p>
      <w:r>
        <w:t>Zacharias, Christos; Pinedo, Michael (2014). Appointment Scheduling with No‐Shows and Overbooking. Production and Operations Management. doi:10.1111/poms.12065</w:t>
      </w:r>
    </w:p>
    <w:p>
      <w:pPr>
        <w:pStyle w:val="Heading2"/>
      </w:pPr>
      <w:r>
        <w:t>Table 3 Representative policy performance and regret (focal specs).</w:t>
      </w:r>
    </w:p>
    <w:p>
      <w:r>
        <w:rPr>
          <w:b/>
        </w:rPr>
        <w:t>Table 3 Representative policy performance and regret (focal specs).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spec</w:t>
            </w:r>
          </w:p>
        </w:tc>
        <w:tc>
          <w:tcPr>
            <w:tcW w:type="dxa" w:w="785"/>
          </w:tcPr>
          <w:p>
            <w:r>
              <w:t>policy</w:t>
            </w:r>
          </w:p>
        </w:tc>
        <w:tc>
          <w:tcPr>
            <w:tcW w:type="dxa" w:w="785"/>
          </w:tcPr>
          <w:p>
            <w:r>
              <w:t>E_W_mean</w:t>
            </w:r>
          </w:p>
        </w:tc>
        <w:tc>
          <w:tcPr>
            <w:tcW w:type="dxa" w:w="785"/>
          </w:tcPr>
          <w:p>
            <w:r>
              <w:t>Q95_W_mean</w:t>
            </w:r>
          </w:p>
        </w:tc>
        <w:tc>
          <w:tcPr>
            <w:tcW w:type="dxa" w:w="785"/>
          </w:tcPr>
          <w:p>
            <w:r>
              <w:t>E_p_wait30</w:t>
            </w:r>
          </w:p>
        </w:tc>
        <w:tc>
          <w:tcPr>
            <w:tcW w:type="dxa" w:w="785"/>
          </w:tcPr>
          <w:p>
            <w:r>
              <w:t>E_idle</w:t>
            </w:r>
          </w:p>
        </w:tc>
        <w:tc>
          <w:tcPr>
            <w:tcW w:type="dxa" w:w="785"/>
          </w:tcPr>
          <w:p>
            <w:r>
              <w:t>E_overtime</w:t>
            </w:r>
          </w:p>
        </w:tc>
        <w:tc>
          <w:tcPr>
            <w:tcW w:type="dxa" w:w="785"/>
          </w:tcPr>
          <w:p>
            <w:r>
              <w:t>P_overtime_gt0</w:t>
            </w:r>
          </w:p>
        </w:tc>
        <w:tc>
          <w:tcPr>
            <w:tcW w:type="dxa" w:w="785"/>
          </w:tcPr>
          <w:p>
            <w:r>
              <w:t>E_cost</w:t>
            </w:r>
          </w:p>
        </w:tc>
        <w:tc>
          <w:tcPr>
            <w:tcW w:type="dxa" w:w="785"/>
          </w:tcPr>
          <w:p>
            <w:r>
              <w:t>regret_abs</w:t>
            </w:r>
          </w:p>
        </w:tc>
        <w:tc>
          <w:tcPr>
            <w:tcW w:type="dxa" w:w="785"/>
          </w:tcPr>
          <w:p>
            <w:r>
              <w:t>regret_rel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fixed_mean</w:t>
            </w:r>
          </w:p>
        </w:tc>
        <w:tc>
          <w:tcPr>
            <w:tcW w:type="dxa" w:w="785"/>
          </w:tcPr>
          <w:p>
            <w:r>
              <w:t>22.66</w:t>
            </w:r>
          </w:p>
        </w:tc>
        <w:tc>
          <w:tcPr>
            <w:tcW w:type="dxa" w:w="785"/>
          </w:tcPr>
          <w:p>
            <w:r>
              <w:t>61.31</w:t>
            </w:r>
          </w:p>
        </w:tc>
        <w:tc>
          <w:tcPr>
            <w:tcW w:type="dxa" w:w="785"/>
          </w:tcPr>
          <w:p>
            <w:r>
              <w:t>0.291</w:t>
            </w:r>
          </w:p>
        </w:tc>
        <w:tc>
          <w:tcPr>
            <w:tcW w:type="dxa" w:w="785"/>
          </w:tcPr>
          <w:p>
            <w:r>
              <w:t>36.77</w:t>
            </w:r>
          </w:p>
        </w:tc>
        <w:tc>
          <w:tcPr>
            <w:tcW w:type="dxa" w:w="785"/>
          </w:tcPr>
          <w:p>
            <w:r>
              <w:t>46.75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846.8</w:t>
            </w:r>
          </w:p>
        </w:tc>
        <w:tc>
          <w:tcPr>
            <w:tcW w:type="dxa" w:w="785"/>
          </w:tcPr>
          <w:p>
            <w:r>
              <w:t>334.6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fixed_conservative</w:t>
            </w:r>
          </w:p>
        </w:tc>
        <w:tc>
          <w:tcPr>
            <w:tcW w:type="dxa" w:w="785"/>
          </w:tcPr>
          <w:p>
            <w:r>
              <w:t>11.2</w:t>
            </w:r>
          </w:p>
        </w:tc>
        <w:tc>
          <w:tcPr>
            <w:tcW w:type="dxa" w:w="785"/>
          </w:tcPr>
          <w:p>
            <w:r>
              <w:t>34.02</w:t>
            </w:r>
          </w:p>
        </w:tc>
        <w:tc>
          <w:tcPr>
            <w:tcW w:type="dxa" w:w="785"/>
          </w:tcPr>
          <w:p>
            <w:r>
              <w:t>0.128</w:t>
            </w:r>
          </w:p>
        </w:tc>
        <w:tc>
          <w:tcPr>
            <w:tcW w:type="dxa" w:w="785"/>
          </w:tcPr>
          <w:p>
            <w:r>
              <w:t>87.5</w:t>
            </w:r>
          </w:p>
        </w:tc>
        <w:tc>
          <w:tcPr>
            <w:tcW w:type="dxa" w:w="785"/>
          </w:tcPr>
          <w:p>
            <w:r>
              <w:t>24.98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560.8</w:t>
            </w:r>
          </w:p>
        </w:tc>
        <w:tc>
          <w:tcPr>
            <w:tcW w:type="dxa" w:w="785"/>
          </w:tcPr>
          <w:p>
            <w:r>
              <w:t>48.62</w:t>
            </w:r>
          </w:p>
        </w:tc>
        <w:tc>
          <w:tcPr>
            <w:tcW w:type="dxa" w:w="785"/>
          </w:tcPr>
          <w:p>
            <w:r>
              <w:t>0.095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quantile</w:t>
            </w:r>
          </w:p>
        </w:tc>
        <w:tc>
          <w:tcPr>
            <w:tcW w:type="dxa" w:w="785"/>
          </w:tcPr>
          <w:p>
            <w:r>
              <w:t>2.816</w:t>
            </w:r>
          </w:p>
        </w:tc>
        <w:tc>
          <w:tcPr>
            <w:tcW w:type="dxa" w:w="785"/>
          </w:tcPr>
          <w:p>
            <w:r>
              <w:t>8.484</w:t>
            </w:r>
          </w:p>
        </w:tc>
        <w:tc>
          <w:tcPr>
            <w:tcW w:type="dxa" w:w="785"/>
          </w:tcPr>
          <w:p>
            <w:r>
              <w:t>0.021</w:t>
            </w:r>
          </w:p>
        </w:tc>
        <w:tc>
          <w:tcPr>
            <w:tcW w:type="dxa" w:w="785"/>
          </w:tcPr>
          <w:p>
            <w:r>
              <w:t>262</w:t>
            </w:r>
          </w:p>
        </w:tc>
        <w:tc>
          <w:tcPr>
            <w:tcW w:type="dxa" w:w="785"/>
          </w:tcPr>
          <w:p>
            <w:r>
              <w:t>13.08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634.7</w:t>
            </w:r>
          </w:p>
        </w:tc>
        <w:tc>
          <w:tcPr>
            <w:tcW w:type="dxa" w:w="785"/>
          </w:tcPr>
          <w:p>
            <w:r>
              <w:t>122.5</w:t>
            </w:r>
          </w:p>
        </w:tc>
        <w:tc>
          <w:tcPr>
            <w:tcW w:type="dxa" w:w="785"/>
          </w:tcPr>
          <w:p>
            <w:r>
              <w:t>0.239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opt_uniform</w:t>
            </w:r>
          </w:p>
        </w:tc>
        <w:tc>
          <w:tcPr>
            <w:tcW w:type="dxa" w:w="785"/>
          </w:tcPr>
          <w:p>
            <w:r>
              <w:t>6.985</w:t>
            </w:r>
          </w:p>
        </w:tc>
        <w:tc>
          <w:tcPr>
            <w:tcW w:type="dxa" w:w="785"/>
          </w:tcPr>
          <w:p>
            <w:r>
              <w:t>20.93</w:t>
            </w:r>
          </w:p>
        </w:tc>
        <w:tc>
          <w:tcPr>
            <w:tcW w:type="dxa" w:w="785"/>
          </w:tcPr>
          <w:p>
            <w:r>
              <w:t>0.07</w:t>
            </w:r>
          </w:p>
        </w:tc>
        <w:tc>
          <w:tcPr>
            <w:tcW w:type="dxa" w:w="785"/>
          </w:tcPr>
          <w:p>
            <w:r>
              <w:t>135.1</w:t>
            </w:r>
          </w:p>
        </w:tc>
        <w:tc>
          <w:tcPr>
            <w:tcW w:type="dxa" w:w="785"/>
          </w:tcPr>
          <w:p>
            <w:r>
              <w:t>18.43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516.6</w:t>
            </w:r>
          </w:p>
        </w:tc>
        <w:tc>
          <w:tcPr>
            <w:tcW w:type="dxa" w:w="785"/>
          </w:tcPr>
          <w:p>
            <w:r>
              <w:t>4.432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opt_nonuniform</w:t>
            </w:r>
          </w:p>
        </w:tc>
        <w:tc>
          <w:tcPr>
            <w:tcW w:type="dxa" w:w="785"/>
          </w:tcPr>
          <w:p>
            <w:r>
              <w:t>6.996</w:t>
            </w:r>
          </w:p>
        </w:tc>
        <w:tc>
          <w:tcPr>
            <w:tcW w:type="dxa" w:w="785"/>
          </w:tcPr>
          <w:p>
            <w:r>
              <w:t>20.59</w:t>
            </w:r>
          </w:p>
        </w:tc>
        <w:tc>
          <w:tcPr>
            <w:tcW w:type="dxa" w:w="785"/>
          </w:tcPr>
          <w:p>
            <w:r>
              <w:t>0.069</w:t>
            </w:r>
          </w:p>
        </w:tc>
        <w:tc>
          <w:tcPr>
            <w:tcW w:type="dxa" w:w="785"/>
          </w:tcPr>
          <w:p>
            <w:r>
              <w:t>133.5</w:t>
            </w:r>
          </w:p>
        </w:tc>
        <w:tc>
          <w:tcPr>
            <w:tcW w:type="dxa" w:w="785"/>
          </w:tcPr>
          <w:p>
            <w:r>
              <w:t>17.62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512.2</w:t>
            </w:r>
          </w:p>
        </w:tc>
        <w:tc>
          <w:tcPr>
            <w:tcW w:type="dxa" w:w="785"/>
          </w:tcPr>
          <w:p>
            <w:r>
              <w:t>-0.033</w:t>
            </w:r>
          </w:p>
        </w:tc>
        <w:tc>
          <w:tcPr>
            <w:tcW w:type="dxa" w:w="785"/>
          </w:tcPr>
          <w:p>
            <w:r>
              <w:t>-0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tail_aware</w:t>
            </w:r>
          </w:p>
        </w:tc>
        <w:tc>
          <w:tcPr>
            <w:tcW w:type="dxa" w:w="785"/>
          </w:tcPr>
          <w:p>
            <w:r>
              <w:t>3.677</w:t>
            </w:r>
          </w:p>
        </w:tc>
        <w:tc>
          <w:tcPr>
            <w:tcW w:type="dxa" w:w="785"/>
          </w:tcPr>
          <w:p>
            <w:r>
              <w:t>10.96</w:t>
            </w:r>
          </w:p>
        </w:tc>
        <w:tc>
          <w:tcPr>
            <w:tcW w:type="dxa" w:w="785"/>
          </w:tcPr>
          <w:p>
            <w:r>
              <w:t>0.03</w:t>
            </w:r>
          </w:p>
        </w:tc>
        <w:tc>
          <w:tcPr>
            <w:tcW w:type="dxa" w:w="785"/>
          </w:tcPr>
          <w:p>
            <w:r>
              <w:t>219.7</w:t>
            </w:r>
          </w:p>
        </w:tc>
        <w:tc>
          <w:tcPr>
            <w:tcW w:type="dxa" w:w="785"/>
          </w:tcPr>
          <w:p>
            <w:r>
              <w:t>14.09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577.9</w:t>
            </w:r>
          </w:p>
        </w:tc>
        <w:tc>
          <w:tcPr>
            <w:tcW w:type="dxa" w:w="785"/>
          </w:tcPr>
          <w:p>
            <w:r>
              <w:t>65.71</w:t>
            </w:r>
          </w:p>
        </w:tc>
        <w:tc>
          <w:tcPr>
            <w:tcW w:type="dxa" w:w="785"/>
          </w:tcPr>
          <w:p>
            <w:r>
              <w:t>0.128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dro</w:t>
            </w:r>
          </w:p>
        </w:tc>
        <w:tc>
          <w:tcPr>
            <w:tcW w:type="dxa" w:w="785"/>
          </w:tcPr>
          <w:p>
            <w:r>
              <w:t>7.315</w:t>
            </w:r>
          </w:p>
        </w:tc>
        <w:tc>
          <w:tcPr>
            <w:tcW w:type="dxa" w:w="785"/>
          </w:tcPr>
          <w:p>
            <w:r>
              <w:t>21.97</w:t>
            </w:r>
          </w:p>
        </w:tc>
        <w:tc>
          <w:tcPr>
            <w:tcW w:type="dxa" w:w="785"/>
          </w:tcPr>
          <w:p>
            <w:r>
              <w:t>0.074</w:t>
            </w:r>
          </w:p>
        </w:tc>
        <w:tc>
          <w:tcPr>
            <w:tcW w:type="dxa" w:w="785"/>
          </w:tcPr>
          <w:p>
            <w:r>
              <w:t>129.9</w:t>
            </w:r>
          </w:p>
        </w:tc>
        <w:tc>
          <w:tcPr>
            <w:tcW w:type="dxa" w:w="785"/>
          </w:tcPr>
          <w:p>
            <w:r>
              <w:t>18.91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517.1</w:t>
            </w:r>
          </w:p>
        </w:tc>
        <w:tc>
          <w:tcPr>
            <w:tcW w:type="dxa" w:w="785"/>
          </w:tcPr>
          <w:p>
            <w:r>
              <w:t>4.916</w:t>
            </w:r>
          </w:p>
        </w:tc>
        <w:tc>
          <w:tcPr>
            <w:tcW w:type="dxa" w:w="785"/>
          </w:tcPr>
          <w:p>
            <w:r>
              <w:t>0.01</w:t>
            </w:r>
          </w:p>
        </w:tc>
      </w:tr>
      <w:tr>
        <w:tc>
          <w:tcPr>
            <w:tcW w:type="dxa" w:w="785"/>
          </w:tcPr>
          <w:p>
            <w:r>
              <w:t>gamma_cv10</w:t>
            </w:r>
          </w:p>
        </w:tc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6.941</w:t>
            </w:r>
          </w:p>
        </w:tc>
        <w:tc>
          <w:tcPr>
            <w:tcW w:type="dxa" w:w="785"/>
          </w:tcPr>
          <w:p>
            <w:r>
              <w:t>20.4</w:t>
            </w:r>
          </w:p>
        </w:tc>
        <w:tc>
          <w:tcPr>
            <w:tcW w:type="dxa" w:w="785"/>
          </w:tcPr>
          <w:p>
            <w:r>
              <w:t>0.069</w:t>
            </w:r>
          </w:p>
        </w:tc>
        <w:tc>
          <w:tcPr>
            <w:tcW w:type="dxa" w:w="785"/>
          </w:tcPr>
          <w:p>
            <w:r>
              <w:t>134.2</w:t>
            </w:r>
          </w:p>
        </w:tc>
        <w:tc>
          <w:tcPr>
            <w:tcW w:type="dxa" w:w="785"/>
          </w:tcPr>
          <w:p>
            <w:r>
              <w:t>17.75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512.2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fixed_mean</w:t>
            </w:r>
          </w:p>
        </w:tc>
        <w:tc>
          <w:tcPr>
            <w:tcW w:type="dxa" w:w="785"/>
          </w:tcPr>
          <w:p>
            <w:r>
              <w:t>29.25</w:t>
            </w:r>
          </w:p>
        </w:tc>
        <w:tc>
          <w:tcPr>
            <w:tcW w:type="dxa" w:w="785"/>
          </w:tcPr>
          <w:p>
            <w:r>
              <w:t>94.06</w:t>
            </w:r>
          </w:p>
        </w:tc>
        <w:tc>
          <w:tcPr>
            <w:tcW w:type="dxa" w:w="785"/>
          </w:tcPr>
          <w:p>
            <w:r>
              <w:t>0.312</w:t>
            </w:r>
          </w:p>
        </w:tc>
        <w:tc>
          <w:tcPr>
            <w:tcW w:type="dxa" w:w="785"/>
          </w:tcPr>
          <w:p>
            <w:r>
              <w:t>48.58</w:t>
            </w:r>
          </w:p>
        </w:tc>
        <w:tc>
          <w:tcPr>
            <w:tcW w:type="dxa" w:w="785"/>
          </w:tcPr>
          <w:p>
            <w:r>
              <w:t>58.63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1092</w:t>
            </w:r>
          </w:p>
        </w:tc>
        <w:tc>
          <w:tcPr>
            <w:tcW w:type="dxa" w:w="785"/>
          </w:tcPr>
          <w:p>
            <w:r>
              <w:t>346</w:t>
            </w:r>
          </w:p>
        </w:tc>
        <w:tc>
          <w:tcPr>
            <w:tcW w:type="dxa" w:w="785"/>
          </w:tcPr>
          <w:p>
            <w:r>
              <w:t>0.464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fixed_conservative</w:t>
            </w:r>
          </w:p>
        </w:tc>
        <w:tc>
          <w:tcPr>
            <w:tcW w:type="dxa" w:w="785"/>
          </w:tcPr>
          <w:p>
            <w:r>
              <w:t>18.64</w:t>
            </w:r>
          </w:p>
        </w:tc>
        <w:tc>
          <w:tcPr>
            <w:tcW w:type="dxa" w:w="785"/>
          </w:tcPr>
          <w:p>
            <w:r>
              <w:t>68.31</w:t>
            </w:r>
          </w:p>
        </w:tc>
        <w:tc>
          <w:tcPr>
            <w:tcW w:type="dxa" w:w="785"/>
          </w:tcPr>
          <w:p>
            <w:r>
              <w:t>0.198</w:t>
            </w:r>
          </w:p>
        </w:tc>
        <w:tc>
          <w:tcPr>
            <w:tcW w:type="dxa" w:w="785"/>
          </w:tcPr>
          <w:p>
            <w:r>
              <w:t>99.99</w:t>
            </w:r>
          </w:p>
        </w:tc>
        <w:tc>
          <w:tcPr>
            <w:tcW w:type="dxa" w:w="785"/>
          </w:tcPr>
          <w:p>
            <w:r>
              <w:t>37.55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834.2</w:t>
            </w:r>
          </w:p>
        </w:tc>
        <w:tc>
          <w:tcPr>
            <w:tcW w:type="dxa" w:w="785"/>
          </w:tcPr>
          <w:p>
            <w:r>
              <w:t>88.39</w:t>
            </w:r>
          </w:p>
        </w:tc>
        <w:tc>
          <w:tcPr>
            <w:tcW w:type="dxa" w:w="785"/>
          </w:tcPr>
          <w:p>
            <w:r>
              <w:t>0.119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quantile</w:t>
            </w:r>
          </w:p>
        </w:tc>
        <w:tc>
          <w:tcPr>
            <w:tcW w:type="dxa" w:w="785"/>
          </w:tcPr>
          <w:p>
            <w:r>
              <w:t>9.552</w:t>
            </w:r>
          </w:p>
        </w:tc>
        <w:tc>
          <w:tcPr>
            <w:tcW w:type="dxa" w:w="785"/>
          </w:tcPr>
          <w:p>
            <w:r>
              <w:t>36.24</w:t>
            </w:r>
          </w:p>
        </w:tc>
        <w:tc>
          <w:tcPr>
            <w:tcW w:type="dxa" w:w="785"/>
          </w:tcPr>
          <w:p>
            <w:r>
              <w:t>0.099</w:t>
            </w:r>
          </w:p>
        </w:tc>
        <w:tc>
          <w:tcPr>
            <w:tcW w:type="dxa" w:w="785"/>
          </w:tcPr>
          <w:p>
            <w:r>
              <w:t>219.8</w:t>
            </w:r>
          </w:p>
        </w:tc>
        <w:tc>
          <w:tcPr>
            <w:tcW w:type="dxa" w:w="785"/>
          </w:tcPr>
          <w:p>
            <w:r>
              <w:t>22.19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770.5</w:t>
            </w:r>
          </w:p>
        </w:tc>
        <w:tc>
          <w:tcPr>
            <w:tcW w:type="dxa" w:w="785"/>
          </w:tcPr>
          <w:p>
            <w:r>
              <w:t>24.6</w:t>
            </w:r>
          </w:p>
        </w:tc>
        <w:tc>
          <w:tcPr>
            <w:tcW w:type="dxa" w:w="785"/>
          </w:tcPr>
          <w:p>
            <w:r>
              <w:t>0.033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opt_uniform</w:t>
            </w:r>
          </w:p>
        </w:tc>
        <w:tc>
          <w:tcPr>
            <w:tcW w:type="dxa" w:w="785"/>
          </w:tcPr>
          <w:p>
            <w:r>
              <w:t>11.92</w:t>
            </w:r>
          </w:p>
        </w:tc>
        <w:tc>
          <w:tcPr>
            <w:tcW w:type="dxa" w:w="785"/>
          </w:tcPr>
          <w:p>
            <w:r>
              <w:t>45.23</w:t>
            </w:r>
          </w:p>
        </w:tc>
        <w:tc>
          <w:tcPr>
            <w:tcW w:type="dxa" w:w="785"/>
          </w:tcPr>
          <w:p>
            <w:r>
              <w:t>0.124</w:t>
            </w:r>
          </w:p>
        </w:tc>
        <w:tc>
          <w:tcPr>
            <w:tcW w:type="dxa" w:w="785"/>
          </w:tcPr>
          <w:p>
            <w:r>
              <w:t>173.7</w:t>
            </w:r>
          </w:p>
        </w:tc>
        <w:tc>
          <w:tcPr>
            <w:tcW w:type="dxa" w:w="785"/>
          </w:tcPr>
          <w:p>
            <w:r>
              <w:t>25.86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756.6</w:t>
            </w:r>
          </w:p>
        </w:tc>
        <w:tc>
          <w:tcPr>
            <w:tcW w:type="dxa" w:w="785"/>
          </w:tcPr>
          <w:p>
            <w:r>
              <w:t>10.72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opt_nonuniform</w:t>
            </w:r>
          </w:p>
        </w:tc>
        <w:tc>
          <w:tcPr>
            <w:tcW w:type="dxa" w:w="785"/>
          </w:tcPr>
          <w:p>
            <w:r>
              <w:t>11.79</w:t>
            </w:r>
          </w:p>
        </w:tc>
        <w:tc>
          <w:tcPr>
            <w:tcW w:type="dxa" w:w="785"/>
          </w:tcPr>
          <w:p>
            <w:r>
              <w:t>43.52</w:t>
            </w:r>
          </w:p>
        </w:tc>
        <w:tc>
          <w:tcPr>
            <w:tcW w:type="dxa" w:w="785"/>
          </w:tcPr>
          <w:p>
            <w:r>
              <w:t>0.123</w:t>
            </w:r>
          </w:p>
        </w:tc>
        <w:tc>
          <w:tcPr>
            <w:tcW w:type="dxa" w:w="785"/>
          </w:tcPr>
          <w:p>
            <w:r>
              <w:t>170.4</w:t>
            </w:r>
          </w:p>
        </w:tc>
        <w:tc>
          <w:tcPr>
            <w:tcW w:type="dxa" w:w="785"/>
          </w:tcPr>
          <w:p>
            <w:r>
              <w:t>25.66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745.8</w:t>
            </w:r>
          </w:p>
        </w:tc>
        <w:tc>
          <w:tcPr>
            <w:tcW w:type="dxa" w:w="785"/>
          </w:tcPr>
          <w:p>
            <w:r>
              <w:t>-0.037</w:t>
            </w:r>
          </w:p>
        </w:tc>
        <w:tc>
          <w:tcPr>
            <w:tcW w:type="dxa" w:w="785"/>
          </w:tcPr>
          <w:p>
            <w:r>
              <w:t>-0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tail_aware</w:t>
            </w:r>
          </w:p>
        </w:tc>
        <w:tc>
          <w:tcPr>
            <w:tcW w:type="dxa" w:w="785"/>
          </w:tcPr>
          <w:p>
            <w:r>
              <w:t>5.253</w:t>
            </w:r>
          </w:p>
        </w:tc>
        <w:tc>
          <w:tcPr>
            <w:tcW w:type="dxa" w:w="785"/>
          </w:tcPr>
          <w:p>
            <w:r>
              <w:t>20.07</w:t>
            </w:r>
          </w:p>
        </w:tc>
        <w:tc>
          <w:tcPr>
            <w:tcW w:type="dxa" w:w="785"/>
          </w:tcPr>
          <w:p>
            <w:r>
              <w:t>0.053</w:t>
            </w:r>
          </w:p>
        </w:tc>
        <w:tc>
          <w:tcPr>
            <w:tcW w:type="dxa" w:w="785"/>
          </w:tcPr>
          <w:p>
            <w:r>
              <w:t>382.8</w:t>
            </w:r>
          </w:p>
        </w:tc>
        <w:tc>
          <w:tcPr>
            <w:tcW w:type="dxa" w:w="785"/>
          </w:tcPr>
          <w:p>
            <w:r>
              <w:t>16.18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955.5</w:t>
            </w:r>
          </w:p>
        </w:tc>
        <w:tc>
          <w:tcPr>
            <w:tcW w:type="dxa" w:w="785"/>
          </w:tcPr>
          <w:p>
            <w:r>
              <w:t>209.7</w:t>
            </w:r>
          </w:p>
        </w:tc>
        <w:tc>
          <w:tcPr>
            <w:tcW w:type="dxa" w:w="785"/>
          </w:tcPr>
          <w:p>
            <w:r>
              <w:t>0.281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dro</w:t>
            </w:r>
          </w:p>
        </w:tc>
        <w:tc>
          <w:tcPr>
            <w:tcW w:type="dxa" w:w="785"/>
          </w:tcPr>
          <w:p>
            <w:r>
              <w:t>10.27</w:t>
            </w:r>
          </w:p>
        </w:tc>
        <w:tc>
          <w:tcPr>
            <w:tcW w:type="dxa" w:w="785"/>
          </w:tcPr>
          <w:p>
            <w:r>
              <w:t>38.93</w:t>
            </w:r>
          </w:p>
        </w:tc>
        <w:tc>
          <w:tcPr>
            <w:tcW w:type="dxa" w:w="785"/>
          </w:tcPr>
          <w:p>
            <w:r>
              <w:t>0.107</w:t>
            </w:r>
          </w:p>
        </w:tc>
        <w:tc>
          <w:tcPr>
            <w:tcW w:type="dxa" w:w="785"/>
          </w:tcPr>
          <w:p>
            <w:r>
              <w:t>203.8</w:t>
            </w:r>
          </w:p>
        </w:tc>
        <w:tc>
          <w:tcPr>
            <w:tcW w:type="dxa" w:w="785"/>
          </w:tcPr>
          <w:p>
            <w:r>
              <w:t>23.28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762.4</w:t>
            </w:r>
          </w:p>
        </w:tc>
        <w:tc>
          <w:tcPr>
            <w:tcW w:type="dxa" w:w="785"/>
          </w:tcPr>
          <w:p>
            <w:r>
              <w:t>16.57</w:t>
            </w:r>
          </w:p>
        </w:tc>
        <w:tc>
          <w:tcPr>
            <w:tcW w:type="dxa" w:w="785"/>
          </w:tcPr>
          <w:p>
            <w:r>
              <w:t>0.022</w:t>
            </w:r>
          </w:p>
        </w:tc>
      </w:tr>
      <w:tr>
        <w:tc>
          <w:tcPr>
            <w:tcW w:type="dxa" w:w="785"/>
          </w:tcPr>
          <w:p>
            <w:r>
              <w:t>lognormal_cv15</w:t>
            </w:r>
          </w:p>
        </w:tc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11.88</w:t>
            </w:r>
          </w:p>
        </w:tc>
        <w:tc>
          <w:tcPr>
            <w:tcW w:type="dxa" w:w="785"/>
          </w:tcPr>
          <w:p>
            <w:r>
              <w:t>43.95</w:t>
            </w:r>
          </w:p>
        </w:tc>
        <w:tc>
          <w:tcPr>
            <w:tcW w:type="dxa" w:w="785"/>
          </w:tcPr>
          <w:p>
            <w:r>
              <w:t>0.124</w:t>
            </w:r>
          </w:p>
        </w:tc>
        <w:tc>
          <w:tcPr>
            <w:tcW w:type="dxa" w:w="785"/>
          </w:tcPr>
          <w:p>
            <w:r>
              <w:t>169.2</w:t>
            </w:r>
          </w:p>
        </w:tc>
        <w:tc>
          <w:tcPr>
            <w:tcW w:type="dxa" w:w="785"/>
          </w:tcPr>
          <w:p>
            <w:r>
              <w:t>25.45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745.9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fixed_mean</w:t>
            </w:r>
          </w:p>
        </w:tc>
        <w:tc>
          <w:tcPr>
            <w:tcW w:type="dxa" w:w="785"/>
          </w:tcPr>
          <w:p>
            <w:r>
              <w:t>21.06</w:t>
            </w:r>
          </w:p>
        </w:tc>
        <w:tc>
          <w:tcPr>
            <w:tcW w:type="dxa" w:w="785"/>
          </w:tcPr>
          <w:p>
            <w:r>
              <w:t>64.17</w:t>
            </w:r>
          </w:p>
        </w:tc>
        <w:tc>
          <w:tcPr>
            <w:tcW w:type="dxa" w:w="785"/>
          </w:tcPr>
          <w:p>
            <w:r>
              <w:t>0.264</w:t>
            </w:r>
          </w:p>
        </w:tc>
        <w:tc>
          <w:tcPr>
            <w:tcW w:type="dxa" w:w="785"/>
          </w:tcPr>
          <w:p>
            <w:r>
              <w:t>34.87</w:t>
            </w:r>
          </w:p>
        </w:tc>
        <w:tc>
          <w:tcPr>
            <w:tcW w:type="dxa" w:w="785"/>
          </w:tcPr>
          <w:p>
            <w:r>
              <w:t>44.83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791.1</w:t>
            </w:r>
          </w:p>
        </w:tc>
        <w:tc>
          <w:tcPr>
            <w:tcW w:type="dxa" w:w="785"/>
          </w:tcPr>
          <w:p>
            <w:r>
              <w:t>273.2</w:t>
            </w:r>
          </w:p>
        </w:tc>
        <w:tc>
          <w:tcPr>
            <w:tcW w:type="dxa" w:w="785"/>
          </w:tcPr>
          <w:p>
            <w:r>
              <w:t>0.527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fixed_conservative</w:t>
            </w:r>
          </w:p>
        </w:tc>
        <w:tc>
          <w:tcPr>
            <w:tcW w:type="dxa" w:w="785"/>
          </w:tcPr>
          <w:p>
            <w:r>
              <w:t>10.97</w:t>
            </w:r>
          </w:p>
        </w:tc>
        <w:tc>
          <w:tcPr>
            <w:tcW w:type="dxa" w:w="785"/>
          </w:tcPr>
          <w:p>
            <w:r>
              <w:t>38.2</w:t>
            </w:r>
          </w:p>
        </w:tc>
        <w:tc>
          <w:tcPr>
            <w:tcW w:type="dxa" w:w="785"/>
          </w:tcPr>
          <w:p>
            <w:r>
              <w:t>0.136</w:t>
            </w:r>
          </w:p>
        </w:tc>
        <w:tc>
          <w:tcPr>
            <w:tcW w:type="dxa" w:w="785"/>
          </w:tcPr>
          <w:p>
            <w:r>
              <w:t>87.62</w:t>
            </w:r>
          </w:p>
        </w:tc>
        <w:tc>
          <w:tcPr>
            <w:tcW w:type="dxa" w:w="785"/>
          </w:tcPr>
          <w:p>
            <w:r>
              <w:t>25.08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554.5</w:t>
            </w:r>
          </w:p>
        </w:tc>
        <w:tc>
          <w:tcPr>
            <w:tcW w:type="dxa" w:w="785"/>
          </w:tcPr>
          <w:p>
            <w:r>
              <w:t>36.49</w:t>
            </w:r>
          </w:p>
        </w:tc>
        <w:tc>
          <w:tcPr>
            <w:tcW w:type="dxa" w:w="785"/>
          </w:tcPr>
          <w:p>
            <w:r>
              <w:t>0.07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quantile</w:t>
            </w:r>
          </w:p>
        </w:tc>
        <w:tc>
          <w:tcPr>
            <w:tcW w:type="dxa" w:w="785"/>
          </w:tcPr>
          <w:p>
            <w:r>
              <w:t>6.628</w:t>
            </w:r>
          </w:p>
        </w:tc>
        <w:tc>
          <w:tcPr>
            <w:tcW w:type="dxa" w:w="785"/>
          </w:tcPr>
          <w:p>
            <w:r>
              <w:t>23.18</w:t>
            </w:r>
          </w:p>
        </w:tc>
        <w:tc>
          <w:tcPr>
            <w:tcW w:type="dxa" w:w="785"/>
          </w:tcPr>
          <w:p>
            <w:r>
              <w:t>0.079</w:t>
            </w:r>
          </w:p>
        </w:tc>
        <w:tc>
          <w:tcPr>
            <w:tcW w:type="dxa" w:w="785"/>
          </w:tcPr>
          <w:p>
            <w:r>
              <w:t>147.2</w:t>
            </w:r>
          </w:p>
        </w:tc>
        <w:tc>
          <w:tcPr>
            <w:tcW w:type="dxa" w:w="785"/>
          </w:tcPr>
          <w:p>
            <w:r>
              <w:t>18.05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529.4</w:t>
            </w:r>
          </w:p>
        </w:tc>
        <w:tc>
          <w:tcPr>
            <w:tcW w:type="dxa" w:w="785"/>
          </w:tcPr>
          <w:p>
            <w:r>
              <w:t>11.37</w:t>
            </w:r>
          </w:p>
        </w:tc>
        <w:tc>
          <w:tcPr>
            <w:tcW w:type="dxa" w:w="785"/>
          </w:tcPr>
          <w:p>
            <w:r>
              <w:t>0.022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class_based</w:t>
            </w:r>
          </w:p>
        </w:tc>
        <w:tc>
          <w:tcPr>
            <w:tcW w:type="dxa" w:w="785"/>
          </w:tcPr>
          <w:p>
            <w:r>
              <w:t>20.46</w:t>
            </w:r>
          </w:p>
        </w:tc>
        <w:tc>
          <w:tcPr>
            <w:tcW w:type="dxa" w:w="785"/>
          </w:tcPr>
          <w:p>
            <w:r>
              <w:t>56.09</w:t>
            </w:r>
          </w:p>
        </w:tc>
        <w:tc>
          <w:tcPr>
            <w:tcW w:type="dxa" w:w="785"/>
          </w:tcPr>
          <w:p>
            <w:r>
              <w:t>0.255</w:t>
            </w:r>
          </w:p>
        </w:tc>
        <w:tc>
          <w:tcPr>
            <w:tcW w:type="dxa" w:w="785"/>
          </w:tcPr>
          <w:p>
            <w:r>
              <w:t>97.37</w:t>
            </w:r>
          </w:p>
        </w:tc>
        <w:tc>
          <w:tcPr>
            <w:tcW w:type="dxa" w:w="785"/>
          </w:tcPr>
          <w:p>
            <w:r>
              <w:t>20.41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849.2</w:t>
            </w:r>
          </w:p>
        </w:tc>
        <w:tc>
          <w:tcPr>
            <w:tcW w:type="dxa" w:w="785"/>
          </w:tcPr>
          <w:p>
            <w:r>
              <w:t>331.3</w:t>
            </w:r>
          </w:p>
        </w:tc>
        <w:tc>
          <w:tcPr>
            <w:tcW w:type="dxa" w:w="785"/>
          </w:tcPr>
          <w:p>
            <w:r>
              <w:t>0.64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opt_uniform</w:t>
            </w:r>
          </w:p>
        </w:tc>
        <w:tc>
          <w:tcPr>
            <w:tcW w:type="dxa" w:w="785"/>
          </w:tcPr>
          <w:p>
            <w:r>
              <w:t>7.574</w:t>
            </w:r>
          </w:p>
        </w:tc>
        <w:tc>
          <w:tcPr>
            <w:tcW w:type="dxa" w:w="785"/>
          </w:tcPr>
          <w:p>
            <w:r>
              <w:t>26.46</w:t>
            </w:r>
          </w:p>
        </w:tc>
        <w:tc>
          <w:tcPr>
            <w:tcW w:type="dxa" w:w="785"/>
          </w:tcPr>
          <w:p>
            <w:r>
              <w:t>0.091</w:t>
            </w:r>
          </w:p>
        </w:tc>
        <w:tc>
          <w:tcPr>
            <w:tcW w:type="dxa" w:w="785"/>
          </w:tcPr>
          <w:p>
            <w:r>
              <w:t>129.6</w:t>
            </w:r>
          </w:p>
        </w:tc>
        <w:tc>
          <w:tcPr>
            <w:tcW w:type="dxa" w:w="785"/>
          </w:tcPr>
          <w:p>
            <w:r>
              <w:t>19.47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525.4</w:t>
            </w:r>
          </w:p>
        </w:tc>
        <w:tc>
          <w:tcPr>
            <w:tcW w:type="dxa" w:w="785"/>
          </w:tcPr>
          <w:p>
            <w:r>
              <w:t>7.384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opt_nonuniform</w:t>
            </w:r>
          </w:p>
        </w:tc>
        <w:tc>
          <w:tcPr>
            <w:tcW w:type="dxa" w:w="785"/>
          </w:tcPr>
          <w:p>
            <w:r>
              <w:t>7.616</w:t>
            </w:r>
          </w:p>
        </w:tc>
        <w:tc>
          <w:tcPr>
            <w:tcW w:type="dxa" w:w="785"/>
          </w:tcPr>
          <w:p>
            <w:r>
              <w:t>26</w:t>
            </w:r>
          </w:p>
        </w:tc>
        <w:tc>
          <w:tcPr>
            <w:tcW w:type="dxa" w:w="785"/>
          </w:tcPr>
          <w:p>
            <w:r>
              <w:t>0.091</w:t>
            </w:r>
          </w:p>
        </w:tc>
        <w:tc>
          <w:tcPr>
            <w:tcW w:type="dxa" w:w="785"/>
          </w:tcPr>
          <w:p>
            <w:r>
              <w:t>125.6</w:t>
            </w:r>
          </w:p>
        </w:tc>
        <w:tc>
          <w:tcPr>
            <w:tcW w:type="dxa" w:w="785"/>
          </w:tcPr>
          <w:p>
            <w:r>
              <w:t>19.13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518.1</w:t>
            </w:r>
          </w:p>
        </w:tc>
        <w:tc>
          <w:tcPr>
            <w:tcW w:type="dxa" w:w="785"/>
          </w:tcPr>
          <w:p>
            <w:r>
              <w:t>0.075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tail_aware</w:t>
            </w:r>
          </w:p>
        </w:tc>
        <w:tc>
          <w:tcPr>
            <w:tcW w:type="dxa" w:w="785"/>
          </w:tcPr>
          <w:p>
            <w:r>
              <w:t>3.79</w:t>
            </w:r>
          </w:p>
        </w:tc>
        <w:tc>
          <w:tcPr>
            <w:tcW w:type="dxa" w:w="785"/>
          </w:tcPr>
          <w:p>
            <w:r>
              <w:t>13.36</w:t>
            </w:r>
          </w:p>
        </w:tc>
        <w:tc>
          <w:tcPr>
            <w:tcW w:type="dxa" w:w="785"/>
          </w:tcPr>
          <w:p>
            <w:r>
              <w:t>0.043</w:t>
            </w:r>
          </w:p>
        </w:tc>
        <w:tc>
          <w:tcPr>
            <w:tcW w:type="dxa" w:w="785"/>
          </w:tcPr>
          <w:p>
            <w:r>
              <w:t>238</w:t>
            </w:r>
          </w:p>
        </w:tc>
        <w:tc>
          <w:tcPr>
            <w:tcW w:type="dxa" w:w="785"/>
          </w:tcPr>
          <w:p>
            <w:r>
              <w:t>14.25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618.2</w:t>
            </w:r>
          </w:p>
        </w:tc>
        <w:tc>
          <w:tcPr>
            <w:tcW w:type="dxa" w:w="785"/>
          </w:tcPr>
          <w:p>
            <w:r>
              <w:t>100.3</w:t>
            </w:r>
          </w:p>
        </w:tc>
        <w:tc>
          <w:tcPr>
            <w:tcW w:type="dxa" w:w="785"/>
          </w:tcPr>
          <w:p>
            <w:r>
              <w:t>0.194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dro</w:t>
            </w:r>
          </w:p>
        </w:tc>
        <w:tc>
          <w:tcPr>
            <w:tcW w:type="dxa" w:w="785"/>
          </w:tcPr>
          <w:p>
            <w:r>
              <w:t>7.525</w:t>
            </w:r>
          </w:p>
        </w:tc>
        <w:tc>
          <w:tcPr>
            <w:tcW w:type="dxa" w:w="785"/>
          </w:tcPr>
          <w:p>
            <w:r>
              <w:t>26.27</w:t>
            </w:r>
          </w:p>
        </w:tc>
        <w:tc>
          <w:tcPr>
            <w:tcW w:type="dxa" w:w="785"/>
          </w:tcPr>
          <w:p>
            <w:r>
              <w:t>0.091</w:t>
            </w:r>
          </w:p>
        </w:tc>
        <w:tc>
          <w:tcPr>
            <w:tcW w:type="dxa" w:w="785"/>
          </w:tcPr>
          <w:p>
            <w:r>
              <w:t>130.4</w:t>
            </w:r>
          </w:p>
        </w:tc>
        <w:tc>
          <w:tcPr>
            <w:tcW w:type="dxa" w:w="785"/>
          </w:tcPr>
          <w:p>
            <w:r>
              <w:t>19.39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525.4</w:t>
            </w:r>
          </w:p>
        </w:tc>
        <w:tc>
          <w:tcPr>
            <w:tcW w:type="dxa" w:w="785"/>
          </w:tcPr>
          <w:p>
            <w:r>
              <w:t>7.41</w:t>
            </w:r>
          </w:p>
        </w:tc>
        <w:tc>
          <w:tcPr>
            <w:tcW w:type="dxa" w:w="785"/>
          </w:tcPr>
          <w:p>
            <w:r>
              <w:t>0.014</w:t>
            </w:r>
          </w:p>
        </w:tc>
      </w:tr>
      <w:tr>
        <w:tc>
          <w:tcPr>
            <w:tcW w:type="dxa" w:w="785"/>
          </w:tcPr>
          <w:p>
            <w:r>
              <w:t>mixture_p10_cv10</w:t>
            </w:r>
          </w:p>
        </w:tc>
        <w:tc>
          <w:tcPr>
            <w:tcW w:type="dxa" w:w="785"/>
          </w:tcPr>
          <w:p>
            <w:r>
              <w:t>oracle</w:t>
            </w:r>
          </w:p>
        </w:tc>
        <w:tc>
          <w:tcPr>
            <w:tcW w:type="dxa" w:w="785"/>
          </w:tcPr>
          <w:p>
            <w:r>
              <w:t>7.657</w:t>
            </w:r>
          </w:p>
        </w:tc>
        <w:tc>
          <w:tcPr>
            <w:tcW w:type="dxa" w:w="785"/>
          </w:tcPr>
          <w:p>
            <w:r>
              <w:t>26.09</w:t>
            </w:r>
          </w:p>
        </w:tc>
        <w:tc>
          <w:tcPr>
            <w:tcW w:type="dxa" w:w="785"/>
          </w:tcPr>
          <w:p>
            <w:r>
              <w:t>0.092</w:t>
            </w:r>
          </w:p>
        </w:tc>
        <w:tc>
          <w:tcPr>
            <w:tcW w:type="dxa" w:w="785"/>
          </w:tcPr>
          <w:p>
            <w:r>
              <w:t>124.5</w:t>
            </w:r>
          </w:p>
        </w:tc>
        <w:tc>
          <w:tcPr>
            <w:tcW w:type="dxa" w:w="785"/>
          </w:tcPr>
          <w:p>
            <w:r>
              <w:t>19.62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518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(showing 25 of 33 rows; full data in results/processed/)</w:t>
      </w:r>
    </w:p>
    <w:p>
      <w:pPr>
        <w:pStyle w:val="Heading2"/>
      </w:pPr>
      <w:r>
        <w:t>Table 4 Policy complexity vs benefit summary.</w:t>
      </w:r>
    </w:p>
    <w:p>
      <w:r>
        <w:rPr>
          <w:b/>
        </w:rPr>
        <w:t>Table 4 Policy complexity vs benefit summary.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policy</w:t>
            </w:r>
          </w:p>
        </w:tc>
        <w:tc>
          <w:tcPr>
            <w:tcW w:type="dxa" w:w="2160"/>
          </w:tcPr>
          <w:p>
            <w:r>
              <w:t>mean_regret_rel</w:t>
            </w:r>
          </w:p>
        </w:tc>
        <w:tc>
          <w:tcPr>
            <w:tcW w:type="dxa" w:w="2160"/>
          </w:tcPr>
          <w:p>
            <w:r>
              <w:t>max_regret_rel</w:t>
            </w:r>
          </w:p>
        </w:tc>
        <w:tc>
          <w:tcPr>
            <w:tcW w:type="dxa" w:w="2160"/>
          </w:tcPr>
          <w:p>
            <w:r>
              <w:t>complexity</w:t>
            </w:r>
          </w:p>
        </w:tc>
      </w:tr>
      <w:tr>
        <w:tc>
          <w:tcPr>
            <w:tcW w:type="dxa" w:w="2160"/>
          </w:tcPr>
          <w:p>
            <w:r>
              <w:t>oracle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opt_nonuniform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0.0002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opt_uniform</w:t>
            </w:r>
          </w:p>
        </w:tc>
        <w:tc>
          <w:tcPr>
            <w:tcW w:type="dxa" w:w="2160"/>
          </w:tcPr>
          <w:p>
            <w:r>
              <w:t>0.0116</w:t>
            </w:r>
          </w:p>
        </w:tc>
        <w:tc>
          <w:tcPr>
            <w:tcW w:type="dxa" w:w="2160"/>
          </w:tcPr>
          <w:p>
            <w:r>
              <w:t>0.0144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dro</w:t>
            </w:r>
          </w:p>
        </w:tc>
        <w:tc>
          <w:tcPr>
            <w:tcW w:type="dxa" w:w="2160"/>
          </w:tcPr>
          <w:p>
            <w:r>
              <w:t>0.0534</w:t>
            </w:r>
          </w:p>
        </w:tc>
        <w:tc>
          <w:tcPr>
            <w:tcW w:type="dxa" w:w="2160"/>
          </w:tcPr>
          <w:p>
            <w:r>
              <w:t>0.3464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fixed_conservative</w:t>
            </w:r>
          </w:p>
        </w:tc>
        <w:tc>
          <w:tcPr>
            <w:tcW w:type="dxa" w:w="2160"/>
          </w:tcPr>
          <w:p>
            <w:r>
              <w:t>0.0888</w:t>
            </w:r>
          </w:p>
        </w:tc>
        <w:tc>
          <w:tcPr>
            <w:tcW w:type="dxa" w:w="2160"/>
          </w:tcPr>
          <w:p>
            <w:r>
              <w:t>0.1847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quantile</w:t>
            </w:r>
          </w:p>
        </w:tc>
        <w:tc>
          <w:tcPr>
            <w:tcW w:type="dxa" w:w="2160"/>
          </w:tcPr>
          <w:p>
            <w:r>
              <w:t>0.1213</w:t>
            </w:r>
          </w:p>
        </w:tc>
        <w:tc>
          <w:tcPr>
            <w:tcW w:type="dxa" w:w="2160"/>
          </w:tcPr>
          <w:p>
            <w:r>
              <w:t>0.3326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tail_aware</w:t>
            </w:r>
          </w:p>
        </w:tc>
        <w:tc>
          <w:tcPr>
            <w:tcW w:type="dxa" w:w="2160"/>
          </w:tcPr>
          <w:p>
            <w:r>
              <w:t>0.2029</w:t>
            </w:r>
          </w:p>
        </w:tc>
        <w:tc>
          <w:tcPr>
            <w:tcW w:type="dxa" w:w="2160"/>
          </w:tcPr>
          <w:p>
            <w:r>
              <w:t>0.4082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class_based</w:t>
            </w:r>
          </w:p>
        </w:tc>
        <w:tc>
          <w:tcPr>
            <w:tcW w:type="dxa" w:w="2160"/>
          </w:tcPr>
          <w:p>
            <w:r>
              <w:t>0.5163</w:t>
            </w:r>
          </w:p>
        </w:tc>
        <w:tc>
          <w:tcPr>
            <w:tcW w:type="dxa" w:w="2160"/>
          </w:tcPr>
          <w:p>
            <w:r>
              <w:t>0.6395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fixed_mean</w:t>
            </w:r>
          </w:p>
        </w:tc>
        <w:tc>
          <w:tcPr>
            <w:tcW w:type="dxa" w:w="2160"/>
          </w:tcPr>
          <w:p>
            <w:r>
              <w:t>0.5505</w:t>
            </w:r>
          </w:p>
        </w:tc>
        <w:tc>
          <w:tcPr>
            <w:tcW w:type="dxa" w:w="2160"/>
          </w:tcPr>
          <w:p>
            <w:r>
              <w:t>0.7131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