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When Does Appointment-Scheduling Complexity Pay? Service-Time Uncertainty and the Value of Simple Planning Rules</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commit session capacity before demand is realized, typically dividing session length by mean consultation time — yet consultation durations are right-skewed and their upper tails vary across clinics. We ask when fixed, mean-based slots fail under service-time distributional uncertainty, and how much scheduling sophistication is worth buying. Using a finite-horizon Lindley-type delay recursion evaluated by large-scale Monte Carlo simulation, we hold the mean fixed and vary only family and tail shape across gamma, Weibull, lognormal, mixture, and Pareto-type designs. Fixed slots incur 36.7%–71.3% relative regret versus an optimized benchmark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 mean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rising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 single SAA-optimized uniform interval recovers nearly all attainable benefit (maximum regret 1.4% versus oracle): ten contiguous blocks over the twenty-nine interval positions capture 91–97% of the residual gap, concentrated in boundary positions. Misspecifying the family can erase these gains — under-designing costs about three times over-designing — and under a genuinely heavy-tailed truth, moment-fitted designs remain unreliable even at 1,000 historical observations. Constructed counterexamples mark where complexity pays: nonstationarity, structured heterogeneity, dominant overtime cost. For service planners the output is a decision rule — how much scheduling complexity to buy, and which distributional measurements justify it — rather than a new algorithm.</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service planning;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modern reviews include Cayirli and Veral [3], Gupta and Denton [4], and Ahmadi-Javid et al. [5]. Optimal interval design under known stochastic service times is well studied [6, 7], as are heuristic rules, unpunctuality and interruptions, no-shows and overbooking, and service-time variability [8]. Queueing and simulation models of appointment-driven systems are established tools in this journal's service-planning literature [9, 10], and slot-structure design for clinical scheduling under patient variability has itself been studied here [11], alongside stochastic planning of elective-care capacity [12]. Distributionally robust and conic designs hedge against limited distributional information [13, 14], and asymptotic theory shows constant or critical-load schedules to be optimal in fluid and diffusion limits [15, 16]. What finite sessions gain beyond a single optimized scalar interval is the empirical question we quantify.</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Value of schedule complexity.</w:t>
      </w:r>
      <w:r>
        <w:rPr>
          <w:rFonts w:ascii="Times New Roman" w:hAnsi="Times New Roman" w:cs="Times New Roman" w:eastAsia="Times New Roman"/>
          <w:color w:val="000000"/>
          <w:sz w:val="24"/>
          <w:szCs w:val="24"/>
        </w:rPr>
        <w:t xml:space="preserve"> A complexity frontier over block-structured interval families shows the nonuniform benefit concentrates in a few boundary degrees of freedom; interior slot-by-slot freedom adds almost nothing.</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6.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[17].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[6, 7]:</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spacing w:before="240"/>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2376"/>
        <w:gridCol w:w="6263"/>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[18-20], with general scheduling foundations in Pinedo [21], span: fixed mean-based slots; a conservative fixed slot (mean plus slack) [22, 23]; a quantile-based slot; a class-based rule using mixture-component labels where such classes are observable; SAA-optimized uniform and nonuniform intervals; a CVaR-penalized tail-aware uniform interval [18]; a distributionally robust (DRO) uniform interval hedging across a four-family ambiguity set; and the oracle. The DRO policy uses the worst-case expected-cost principle studied in limited-information appointment scheduling and broader DRO frameworks [13, 14, 20, 24, 25].</w:t>
      </w:r>
    </w:p>
    <w:p>
      <w:pPr>
        <w:keepNext/>
        <w:spacing w:before="240"/>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1655"/>
        <w:gridCol w:w="1800"/>
        <w:gridCol w:w="4320"/>
        <w:gridCol w:w="864"/>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 xml:space="preserve">Operational robustness additionally varies no-show probabilities and arrival jitter, reflecting established appointment models with absences and unpunctuality [26-29]. The no-show probabilities are </w:t>
      </w:r>
      <m:oMath>
        <m:r>
          <m:rPr>
            <m:sty m:val="i"/>
          </m:rPr>
          <w:rPr>
            <w:rFonts w:ascii="Times New Roman" w:hAnsi="Times New Roman" w:cs="Times New Roman" w:eastAsia="Times New Roman"/>
            <w:color w:val="000000"/>
            <w:sz w:val="24"/>
            <w:szCs w:val="24"/>
          </w:rPr>
          <m:t>p</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.10</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arrival jitter has sd 0 or 2 min. The complexity experiments of Section 4.7 restrict the interval vector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contiguous blocks and use 3,000 SAA design draws with 20,000 fresh evaluation draws per cell, on four representative families (gamma, lognormal, mixture, Pareto) at CV = 1.0, reported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unless stated otherwise.</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655"/>
        <w:gridCol w:w="1296"/>
        <w:gridCol w:w="1296"/>
        <w:gridCol w:w="1296"/>
        <w:gridCol w:w="1296"/>
        <w:gridCol w:w="1800"/>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r>
        <w:rPr>
          <w:rFonts w:ascii="Times New Roman" w:hAnsi="Times New Roman" w:cs="Times New Roman" w:eastAsia="Times New Roman"/>
          <w:color w:val="000000"/>
          <w:sz w:val="24"/>
          <w:szCs w:val="24"/>
        </w:rPr>
        <w:t xml:space="preserve">With moment-fitted gamma designs (Fig. 5),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182950"/>
            <wp:docPr id="5" name="Picture 5"/>
            <wp:cNvGraphicFramePr>
              <a:graphicFrameLocks noChangeAspect="1"/>
            </wp:cNvGraphicFramePr>
            <a:graphic>
              <a:graphicData uri="http://schemas.openxmlformats.org/drawingml/2006/picture">
                <pic:pic>
                  <pic:nvPicPr>
                    <pic:cNvPr id="0" name="fig5_estimation.png"/>
                    <pic:cNvPicPr/>
                  </pic:nvPicPr>
                  <pic:blipFill>
                    <a:blip r:embed="rId13"/>
                    <a:stretch>
                      <a:fillRect/>
                    </a:stretch>
                  </pic:blipFill>
                  <pic:spPr>
                    <a:xfrm>
                      <a:off x="0" y="0"/>
                      <a:ext cx="5486400" cy="3182950"/>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 xml:space="preserve">Moment-fitted gamma design regret vs historical sample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 xml:space="preserve">: </w:t>
      </w:r>
      <m:oMath>
        <m:sSub>
          <m:e>
            <m:r>
              <m:rPr>
                <m:sty m:val="i"/>
              </m:rPr>
              <w:rPr>
                <w:rFonts w:ascii="Times New Roman" w:hAnsi="Times New Roman" w:cs="Times New Roman" w:eastAsia="Times New Roman"/>
                <w:color w:val="000000"/>
                <w:sz w:val="20"/>
                <w:szCs w:val="20"/>
              </w:rPr>
              <m:t>Q</m:t>
            </m:r>
          </m:e>
          <m:sub>
            <m:r>
              <m:rPr>
                <m:sty m:val="p"/>
              </m:rPr>
              <w:rPr>
                <w:rFonts w:ascii="Times New Roman" w:hAnsi="Times New Roman" w:cs="Times New Roman" w:eastAsia="Times New Roman"/>
                <w:color w:val="000000"/>
                <w:sz w:val="20"/>
                <w:szCs w:val="20"/>
              </w:rPr>
              <m:t>90</m:t>
            </m:r>
          </m:sub>
        </m:sSub>
      </m:oMath>
      <w:r>
        <w:rPr>
          <w:rFonts w:ascii="Times New Roman" w:hAnsi="Times New Roman" w:cs="Times New Roman" w:eastAsia="Times New Roman"/>
          <w:sz w:val="20"/>
          <w:color w:val="000000"/>
          <w:szCs w:val="20"/>
        </w:rPr>
        <w:t xml:space="preserve"> regret over 400 replications per cell.</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6);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spacing w:before="240"/>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655"/>
        <w:gridCol w:w="1944"/>
        <w:gridCol w:w="2376"/>
        <w:gridCol w:w="1368"/>
        <w:gridCol w:w="136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6" name="Picture 6"/>
            <wp:cNvGraphicFramePr>
              <a:graphicFrameLocks noChangeAspect="1"/>
            </wp:cNvGraphicFramePr>
            <a:graphic>
              <a:graphicData uri="http://schemas.openxmlformats.org/drawingml/2006/picture">
                <pic:pic>
                  <pic:nvPicPr>
                    <pic:cNvPr id="0" name="fig6_pareto.png"/>
                    <pic:cNvPicPr/>
                  </pic:nvPicPr>
                  <pic:blipFill>
                    <a:blip r:embed="rId14"/>
                    <a:stretch>
                      <a:fillRect/>
                    </a:stretch>
                  </pic:blipFill>
                  <pic:spPr>
                    <a:xfrm>
                      <a:off x="0" y="0"/>
                      <a:ext cx="5486400" cy="191164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7).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7" name="Picture 7"/>
            <wp:cNvGraphicFramePr>
              <a:graphicFrameLocks noChangeAspect="1"/>
            </wp:cNvGraphicFramePr>
            <a:graphic>
              <a:graphicData uri="http://schemas.openxmlformats.org/drawingml/2006/picture">
                <pic:pic>
                  <pic:nvPicPr>
                    <pic:cNvPr id="0" name="fig7_cascade.png"/>
                    <pic:cNvPicPr/>
                  </pic:nvPicPr>
                  <pic:blipFill>
                    <a:blip r:embed="rId15"/>
                    <a:stretch>
                      <a:fillRect/>
                    </a:stretch>
                  </pic:blipFill>
                  <pic:spPr>
                    <a:xfrm>
                      <a:off x="0" y="0"/>
                      <a:ext cx="5486400" cy="3237598"/>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Delay cascade from a single injected 45-min consultation; cascade length counts downstream appointments with </w:t>
      </w:r>
      <m:oMath>
        <m:r>
          <m:rPr>
            <m:lit m:val="1"/>
            <m:sty m:val="p"/>
          </m:rPr>
          <w:rPr>
            <w:rFonts w:ascii="Times New Roman" w:hAnsi="Times New Roman" w:cs="Times New Roman" w:eastAsia="Times New Roman"/>
            <w:color w:val="000000"/>
            <w:sz w:val="20"/>
            <w:szCs w:val="20"/>
          </w:rPr>
          <m:t>&gt;</m:t>
        </m:r>
        <m:r>
          <m:rPr>
            <m:sty m:val="p"/>
          </m:rPr>
          <w:rPr>
            <w:rFonts w:ascii="Times New Roman" w:hAnsi="Times New Roman" w:cs="Times New Roman" w:eastAsia="Times New Roman"/>
            <w:color w:val="000000"/>
            <w:sz w:val="20"/>
            <w:szCs w:val="20"/>
          </w:rPr>
          <m:t>1</m:t>
        </m:r>
      </m:oMath>
      <w:r>
        <w:rPr>
          <w:rFonts w:ascii="Times New Roman" w:hAnsi="Times New Roman" w:cs="Times New Roman" w:eastAsia="Times New Roman"/>
          <w:sz w:val="20"/>
          <w:color w:val="000000"/>
          <w:szCs w:val="20"/>
        </w:rPr>
        <w:t xml:space="preserve"> min added waiting.</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8):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8" name="Picture 8"/>
            <wp:cNvGraphicFramePr>
              <a:graphicFrameLocks noChangeAspect="1"/>
            </wp:cNvGraphicFramePr>
            <a:graphic>
              <a:graphicData uri="http://schemas.openxmlformats.org/drawingml/2006/picture">
                <pic:pic>
                  <pic:nvPicPr>
                    <pic:cNvPr id="0" name="fig8_decision_map.png"/>
                    <pic:cNvPicPr/>
                  </pic:nvPicPr>
                  <pic:blipFill>
                    <a:blip r:embed="rId16"/>
                    <a:stretch>
                      <a:fillRect/>
                    </a:stretch>
                  </pic:blipFill>
                  <pic:spPr>
                    <a:xfrm>
                      <a:off x="0" y="0"/>
                      <a:ext cx="5486400" cy="3376634"/>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8.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4.7 How much schedule complexity is worth paying for</w:t>
      </w:r>
    </w:p>
    <w:p>
      <w:r>
        <w:rPr>
          <w:rFonts w:ascii="Times New Roman" w:hAnsi="Times New Roman" w:cs="Times New Roman" w:eastAsia="Times New Roman"/>
          <w:color w:val="000000"/>
          <w:sz w:val="24"/>
          <w:szCs w:val="24"/>
        </w:rPr>
        <w:t xml:space="preserve">If the uniform interval is almost enough, the computational question is how much of the remaining gap each added degree of scheduling freedom buys. For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let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K</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be the best SAA-attainable expected cost when the interval vector is restricted to </w:t>
      </w:r>
      <m:oMath>
        <m:r>
          <m:rPr>
            <m:sty m:val="i"/>
          </m:rPr>
          <w:rPr>
            <w:rFonts w:ascii="Times New Roman" w:hAnsi="Times New Roman" w:cs="Times New Roman" w:eastAsia="Times New Roman"/>
            <w:color w:val="000000"/>
            <w:sz w:val="24"/>
            <w:szCs w:val="24"/>
          </w:rPr>
          <m:t>K</m:t>
        </m:r>
      </m:oMath>
      <w:r>
        <w:rPr>
          <w:rFonts w:ascii="Times New Roman" w:hAnsi="Times New Roman" w:cs="Times New Roman" w:eastAsia="Times New Roman"/>
          <w:color w:val="000000"/>
          <w:sz w:val="24"/>
          <w:szCs w:val="24"/>
        </w:rPr>
        <w:t xml:space="preserve"> piecewise-constant blocks (contiguous, with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the uniform policy), evaluated on fresh draws; </w:t>
      </w:r>
      <m:oMath>
        <m:sSubSup>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lit m:val="1"/>
                <m:sty m:val="p"/>
              </m:rPr>
              <w:rPr>
                <w:rFonts w:ascii="Times New Roman" w:hAnsi="Times New Roman" w:cs="Times New Roman" w:eastAsia="Times New Roman"/>
                <w:color w:val="000000"/>
                <w:sz w:val="24"/>
                <w:szCs w:val="24"/>
              </w:rPr>
              <m:t>*</m:t>
            </m:r>
          </m:sup>
        </m:sSubSup>
      </m:oMath>
      <w:r>
        <w:rPr>
          <w:rFonts w:ascii="Times New Roman" w:hAnsi="Times New Roman" w:cs="Times New Roman" w:eastAsia="Times New Roman"/>
          <w:color w:val="000000"/>
          <w:sz w:val="24"/>
          <w:szCs w:val="24"/>
        </w:rPr>
        <w:t xml:space="preserve"> is a per-position optimization strictly richer than the 6-block nonuniform oracle of Section 4.4.</w:t>
      </w:r>
    </w:p>
    <w:p>
      <w:r>
        <w:rPr>
          <w:rFonts w:ascii="Times New Roman" w:hAnsi="Times New Roman" w:cs="Times New Roman" w:eastAsia="Times New Roman"/>
          <w:color w:val="000000"/>
          <w:sz w:val="24"/>
          <w:szCs w:val="24"/>
        </w:rPr>
        <w:t xml:space="preserve">The frontier is steeply concave (Fig. 9, Table 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blocks over the 29 adjustable intervals captures 91–97% of the uniform-to-full gap across the four tested families, and </w:t>
      </w:r>
      <m:oMath>
        <m:r>
          <m:rPr>
            <m:sty m:val="i"/>
          </m:rPr>
          <w:rPr>
            <w:rFonts w:ascii="Times New Roman" w:hAnsi="Times New Roman" w:cs="Times New Roman" w:eastAsia="Times New Roman"/>
            <w:color w:val="000000"/>
            <w:sz w:val="24"/>
            <w:szCs w:val="24"/>
          </w:rPr>
          <m:t>K</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4</m:t>
        </m:r>
      </m:oMath>
      <w:r>
        <w:rPr>
          <w:rFonts w:ascii="Times New Roman" w:hAnsi="Times New Roman" w:cs="Times New Roman" w:eastAsia="Times New Roman"/>
          <w:color w:val="000000"/>
          <w:sz w:val="24"/>
          <w:szCs w:val="24"/>
        </w:rPr>
        <w:t xml:space="preserve"> already captures 42–61%. The decomposition in Fig. 10(a) locates the value: freeing only six boundary degrees of freedom — the first and last three interval positions — closes 85–95% of the full gap, versus 3–9% for six interior positions — an empirical structural pattern in these experiments, not a guarantee. The optimal vector itself (Fig. 10(b)) confirms the mechanism: interior intervals stay within about a minute of the uniform optimum while the first intervals are shortened and the last is lengthened, front-loading density to cut early idle and cushioning the boundary slot against overtime.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458817"/>
            <wp:docPr id="9" name="Picture 9"/>
            <wp:cNvGraphicFramePr>
              <a:graphicFrameLocks noChangeAspect="1"/>
            </wp:cNvGraphicFramePr>
            <a:graphic>
              <a:graphicData uri="http://schemas.openxmlformats.org/drawingml/2006/picture">
                <pic:pic>
                  <pic:nvPicPr>
                    <pic:cNvPr id="0" name="fig9_complexity_frontier.png"/>
                    <pic:cNvPicPr/>
                  </pic:nvPicPr>
                  <pic:blipFill>
                    <a:blip r:embed="rId17"/>
                    <a:stretch>
                      <a:fillRect/>
                    </a:stretch>
                  </pic:blipFill>
                  <pic:spPr>
                    <a:xfrm>
                      <a:off x="0" y="0"/>
                      <a:ext cx="5486400" cy="3458817"/>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9. </w:t>
      </w:r>
      <w:r>
        <w:rPr>
          <w:rFonts w:ascii="Times New Roman" w:hAnsi="Times New Roman" w:cs="Times New Roman" w:eastAsia="Times New Roman"/>
          <w:sz w:val="20"/>
          <w:color w:val="000000"/>
          <w:szCs w:val="20"/>
        </w:rPr>
        <w:t xml:space="preserve">Complexity frontier: share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piecewise-constant blocks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CV = 1.0, four families).</w:t>
      </w:r>
    </w:p>
    <w:p>
      <w:pPr>
        <w:keepNext/>
        <w:spacing w:before="240"/>
      </w:pPr>
      <w:r>
        <w:rPr>
          <w:rFonts w:ascii="Times New Roman" w:hAnsi="Times New Roman" w:cs="Times New Roman" w:eastAsia="Times New Roman"/>
          <w:b/>
          <w:sz w:val="20"/>
          <w:color w:val="000000"/>
          <w:szCs w:val="20"/>
        </w:rPr>
        <w:t xml:space="preserve">Table 5. </w:t>
      </w:r>
      <w:r>
        <w:rPr>
          <w:rFonts w:ascii="Times New Roman" w:hAnsi="Times New Roman" w:cs="Times New Roman" w:eastAsia="Times New Roman"/>
          <w:sz w:val="20"/>
          <w:color w:val="000000"/>
          <w:szCs w:val="20"/>
        </w:rPr>
        <w:t xml:space="preserve">Share (%) of the uniform-to-full gap closed by </w:t>
      </w:r>
      <m:oMath>
        <m:r>
          <m:rPr>
            <m:sty m:val="i"/>
          </m:rPr>
          <w:rPr>
            <w:rFonts w:ascii="Times New Roman" w:hAnsi="Times New Roman" w:cs="Times New Roman" w:eastAsia="Times New Roman"/>
            <w:color w:val="000000"/>
            <w:sz w:val="20"/>
            <w:szCs w:val="20"/>
          </w:rPr>
          <m:t>K</m:t>
        </m:r>
      </m:oMath>
      <w:r>
        <w:rPr>
          <w:rFonts w:ascii="Times New Roman" w:hAnsi="Times New Roman" w:cs="Times New Roman" w:eastAsia="Times New Roman"/>
          <w:sz w:val="20"/>
          <w:color w:val="000000"/>
          <w:szCs w:val="20"/>
        </w:rPr>
        <w:t xml:space="preserve"> block parameters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tbl>
      <w:tblPr>
        <w:tblStyle w:val="LightGrid-Accent1"/>
        <w:tblW w:type="auto" w:w="0"/>
        <w:jc w:val="center"/>
        <w:tblLayout w:type="fixed"/>
        <w:tblLook w:firstColumn="1" w:firstRow="1" w:lastColumn="0" w:lastRow="0" w:noHBand="0" w:noVBand="1" w:val="04A0"/>
      </w:tblPr>
      <w:tblGrid>
        <w:gridCol w:w="2880"/>
        <w:gridCol w:w="820"/>
        <w:gridCol w:w="820"/>
        <w:gridCol w:w="820"/>
        <w:gridCol w:w="820"/>
        <w:gridCol w:w="820"/>
        <w:gridCol w:w="820"/>
        <w:gridCol w:w="820"/>
      </w:tblGrid>
      <w:tr>
        <w:trPr>
          <w:cantSplit/>
          <w:tblHeader/>
        </w:trPr>
        <w:tc>
          <w:tcPr>
            <w:tcW w:type="dxa" w:w="2880"/>
          </w:tcPr>
          <w:p>
            <w:pPr>
              <w:keepNext/>
            </w:pPr>
            <w:r>
              <w:rPr>
                <w:rFonts w:ascii="Times New Roman" w:hAnsi="Times New Roman" w:cs="Times New Roman" w:eastAsia="Times New Roman"/>
                <w:color w:val="000000"/>
                <w:sz w:val="24"/>
                <w:szCs w:val="24"/>
              </w:rPr>
              <w:t>spec</w:t>
            </w:r>
          </w:p>
        </w:tc>
        <w:tc>
          <w:tcPr>
            <w:tcW w:type="dxa" w:w="821"/>
          </w:tcPr>
          <w:p>
            <w:pPr>
              <w:keepNext/>
            </w:pPr>
            <w:r>
              <w:rPr>
                <w:rFonts w:ascii="Times New Roman" w:hAnsi="Times New Roman" w:cs="Times New Roman" w:eastAsia="Times New Roman"/>
                <w:color w:val="000000"/>
                <w:sz w:val="24"/>
                <w:szCs w:val="24"/>
              </w:rPr>
              <w:t>K=1</w:t>
            </w:r>
          </w:p>
        </w:tc>
        <w:tc>
          <w:tcPr>
            <w:tcW w:type="dxa" w:w="821"/>
          </w:tcPr>
          <w:p>
            <w:pPr>
              <w:keepNext/>
            </w:pPr>
            <w:r>
              <w:rPr>
                <w:rFonts w:ascii="Times New Roman" w:hAnsi="Times New Roman" w:cs="Times New Roman" w:eastAsia="Times New Roman"/>
                <w:color w:val="000000"/>
                <w:sz w:val="24"/>
                <w:szCs w:val="24"/>
              </w:rPr>
              <w:t>K=2</w:t>
            </w:r>
          </w:p>
        </w:tc>
        <w:tc>
          <w:tcPr>
            <w:tcW w:type="dxa" w:w="821"/>
          </w:tcPr>
          <w:p>
            <w:pPr>
              <w:keepNext/>
            </w:pPr>
            <w:r>
              <w:rPr>
                <w:rFonts w:ascii="Times New Roman" w:hAnsi="Times New Roman" w:cs="Times New Roman" w:eastAsia="Times New Roman"/>
                <w:color w:val="000000"/>
                <w:sz w:val="24"/>
                <w:szCs w:val="24"/>
              </w:rPr>
              <w:t>K=4</w:t>
            </w:r>
          </w:p>
        </w:tc>
        <w:tc>
          <w:tcPr>
            <w:tcW w:type="dxa" w:w="821"/>
          </w:tcPr>
          <w:p>
            <w:pPr>
              <w:keepNext/>
            </w:pPr>
            <w:r>
              <w:rPr>
                <w:rFonts w:ascii="Times New Roman" w:hAnsi="Times New Roman" w:cs="Times New Roman" w:eastAsia="Times New Roman"/>
                <w:color w:val="000000"/>
                <w:sz w:val="24"/>
                <w:szCs w:val="24"/>
              </w:rPr>
              <w:t>K=6</w:t>
            </w:r>
          </w:p>
        </w:tc>
        <w:tc>
          <w:tcPr>
            <w:tcW w:type="dxa" w:w="821"/>
          </w:tcPr>
          <w:p>
            <w:pPr>
              <w:keepNext/>
            </w:pPr>
            <w:r>
              <w:rPr>
                <w:rFonts w:ascii="Times New Roman" w:hAnsi="Times New Roman" w:cs="Times New Roman" w:eastAsia="Times New Roman"/>
                <w:color w:val="000000"/>
                <w:sz w:val="24"/>
                <w:szCs w:val="24"/>
              </w:rPr>
              <w:t>K=10</w:t>
            </w:r>
          </w:p>
        </w:tc>
        <w:tc>
          <w:tcPr>
            <w:tcW w:type="dxa" w:w="821"/>
          </w:tcPr>
          <w:p>
            <w:pPr>
              <w:keepNext/>
            </w:pPr>
            <w:r>
              <w:rPr>
                <w:rFonts w:ascii="Times New Roman" w:hAnsi="Times New Roman" w:cs="Times New Roman" w:eastAsia="Times New Roman"/>
                <w:color w:val="000000"/>
                <w:sz w:val="24"/>
                <w:szCs w:val="24"/>
              </w:rPr>
              <w:t>K=15</w:t>
            </w:r>
          </w:p>
        </w:tc>
        <w:tc>
          <w:tcPr>
            <w:tcW w:type="dxa" w:w="821"/>
          </w:tcPr>
          <w:p>
            <w:pPr>
              <w:keepNext/>
            </w:pPr>
            <w:r>
              <w:rPr>
                <w:rFonts w:ascii="Times New Roman" w:hAnsi="Times New Roman" w:cs="Times New Roman" w:eastAsia="Times New Roman"/>
                <w:color w:val="000000"/>
                <w:sz w:val="24"/>
                <w:szCs w:val="24"/>
              </w:rPr>
              <w:t>K=29</w:t>
            </w:r>
          </w:p>
        </w:tc>
      </w:tr>
      <w:tr>
        <w:trPr>
          <w:cantSplit/>
        </w:trPr>
        <w:tc>
          <w:tcPr>
            <w:tcW w:type="dxa" w:w="2880"/>
          </w:tcPr>
          <w:p>
            <w:pPr>
              <w:keepNext/>
            </w:pPr>
            <w:r>
              <w:rPr>
                <w:rFonts w:ascii="Times New Roman" w:hAnsi="Times New Roman" w:cs="Times New Roman" w:eastAsia="Times New Roman"/>
                <w:color w:val="000000"/>
                <w:sz w:val="24"/>
                <w:szCs w:val="24"/>
              </w:rPr>
              <w:t>gamma10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9.5</w:t>
            </w:r>
          </w:p>
        </w:tc>
        <w:tc>
          <w:tcPr>
            <w:tcW w:type="dxa" w:w="821"/>
          </w:tcPr>
          <w:p>
            <w:pPr>
              <w:keepNext/>
            </w:pPr>
            <w:r>
              <w:rPr>
                <w:rFonts w:ascii="Times New Roman" w:hAnsi="Times New Roman" w:cs="Times New Roman" w:eastAsia="Times New Roman"/>
                <w:color w:val="000000"/>
                <w:sz w:val="24"/>
                <w:szCs w:val="24"/>
              </w:rPr>
              <w:t>42.5</w:t>
            </w:r>
          </w:p>
        </w:tc>
        <w:tc>
          <w:tcPr>
            <w:tcW w:type="dxa" w:w="821"/>
          </w:tcPr>
          <w:p>
            <w:pPr>
              <w:keepNext/>
            </w:pPr>
            <w:r>
              <w:rPr>
                <w:rFonts w:ascii="Times New Roman" w:hAnsi="Times New Roman" w:cs="Times New Roman" w:eastAsia="Times New Roman"/>
                <w:color w:val="000000"/>
                <w:sz w:val="24"/>
                <w:szCs w:val="24"/>
              </w:rPr>
              <w:t>68</w:t>
            </w:r>
          </w:p>
        </w:tc>
        <w:tc>
          <w:tcPr>
            <w:tcW w:type="dxa" w:w="821"/>
          </w:tcPr>
          <w:p>
            <w:pPr>
              <w:keepNext/>
            </w:pPr>
            <w:r>
              <w:rPr>
                <w:rFonts w:ascii="Times New Roman" w:hAnsi="Times New Roman" w:cs="Times New Roman" w:eastAsia="Times New Roman"/>
                <w:color w:val="000000"/>
                <w:sz w:val="24"/>
                <w:szCs w:val="24"/>
              </w:rPr>
              <w:t>90.6</w:t>
            </w:r>
          </w:p>
        </w:tc>
        <w:tc>
          <w:tcPr>
            <w:tcW w:type="dxa" w:w="821"/>
          </w:tcPr>
          <w:p>
            <w:pPr>
              <w:keepNext/>
            </w:pPr>
            <w:r>
              <w:rPr>
                <w:rFonts w:ascii="Times New Roman" w:hAnsi="Times New Roman" w:cs="Times New Roman" w:eastAsia="Times New Roman"/>
                <w:color w:val="000000"/>
                <w:sz w:val="24"/>
                <w:szCs w:val="24"/>
              </w:rPr>
              <w:t>98.9</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lognorm10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48.6</w:t>
            </w:r>
          </w:p>
        </w:tc>
        <w:tc>
          <w:tcPr>
            <w:tcW w:type="dxa" w:w="821"/>
          </w:tcPr>
          <w:p>
            <w:pPr>
              <w:keepNext/>
            </w:pPr>
            <w:r>
              <w:rPr>
                <w:rFonts w:ascii="Times New Roman" w:hAnsi="Times New Roman" w:cs="Times New Roman" w:eastAsia="Times New Roman"/>
                <w:color w:val="000000"/>
                <w:sz w:val="24"/>
                <w:szCs w:val="24"/>
              </w:rPr>
              <w:t>74.7</w:t>
            </w:r>
          </w:p>
        </w:tc>
        <w:tc>
          <w:tcPr>
            <w:tcW w:type="dxa" w:w="821"/>
          </w:tcPr>
          <w:p>
            <w:pPr>
              <w:keepNext/>
            </w:pPr>
            <w:r>
              <w:rPr>
                <w:rFonts w:ascii="Times New Roman" w:hAnsi="Times New Roman" w:cs="Times New Roman" w:eastAsia="Times New Roman"/>
                <w:color w:val="000000"/>
                <w:sz w:val="24"/>
                <w:szCs w:val="24"/>
              </w:rPr>
              <w:t>95.4</w:t>
            </w:r>
          </w:p>
        </w:tc>
        <w:tc>
          <w:tcPr>
            <w:tcW w:type="dxa" w:w="821"/>
          </w:tcPr>
          <w:p>
            <w:pPr>
              <w:keepNext/>
            </w:pPr>
            <w:r>
              <w:rPr>
                <w:rFonts w:ascii="Times New Roman" w:hAnsi="Times New Roman" w:cs="Times New Roman" w:eastAsia="Times New Roman"/>
                <w:color w:val="000000"/>
                <w:sz w:val="24"/>
                <w:szCs w:val="24"/>
              </w:rPr>
              <w:t>99.8</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mix_p10</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9.2</w:t>
            </w:r>
          </w:p>
        </w:tc>
        <w:tc>
          <w:tcPr>
            <w:tcW w:type="dxa" w:w="821"/>
          </w:tcPr>
          <w:p>
            <w:pPr>
              <w:keepNext/>
            </w:pPr>
            <w:r>
              <w:rPr>
                <w:rFonts w:ascii="Times New Roman" w:hAnsi="Times New Roman" w:cs="Times New Roman" w:eastAsia="Times New Roman"/>
                <w:color w:val="000000"/>
                <w:sz w:val="24"/>
                <w:szCs w:val="24"/>
              </w:rPr>
              <w:t>58</w:t>
            </w:r>
          </w:p>
        </w:tc>
        <w:tc>
          <w:tcPr>
            <w:tcW w:type="dxa" w:w="821"/>
          </w:tcPr>
          <w:p>
            <w:pPr>
              <w:keepNext/>
            </w:pPr>
            <w:r>
              <w:rPr>
                <w:rFonts w:ascii="Times New Roman" w:hAnsi="Times New Roman" w:cs="Times New Roman" w:eastAsia="Times New Roman"/>
                <w:color w:val="000000"/>
                <w:sz w:val="24"/>
                <w:szCs w:val="24"/>
              </w:rPr>
              <w:t>83.5</w:t>
            </w:r>
          </w:p>
        </w:tc>
        <w:tc>
          <w:tcPr>
            <w:tcW w:type="dxa" w:w="821"/>
          </w:tcPr>
          <w:p>
            <w:pPr>
              <w:keepNext/>
            </w:pPr>
            <w:r>
              <w:rPr>
                <w:rFonts w:ascii="Times New Roman" w:hAnsi="Times New Roman" w:cs="Times New Roman" w:eastAsia="Times New Roman"/>
                <w:color w:val="000000"/>
                <w:sz w:val="24"/>
                <w:szCs w:val="24"/>
              </w:rPr>
              <w:t>96.8</w:t>
            </w:r>
          </w:p>
        </w:tc>
        <w:tc>
          <w:tcPr>
            <w:tcW w:type="dxa" w:w="821"/>
          </w:tcPr>
          <w:p>
            <w:pPr>
              <w:keepNext/>
            </w:pPr>
            <w:r>
              <w:rPr>
                <w:rFonts w:ascii="Times New Roman" w:hAnsi="Times New Roman" w:cs="Times New Roman" w:eastAsia="Times New Roman"/>
                <w:color w:val="000000"/>
                <w:sz w:val="24"/>
                <w:szCs w:val="24"/>
              </w:rPr>
              <w:t>101.6</w:t>
            </w:r>
          </w:p>
        </w:tc>
        <w:tc>
          <w:tcPr>
            <w:tcW w:type="dxa" w:w="821"/>
          </w:tcPr>
          <w:p>
            <w:pPr>
              <w:keepNext/>
            </w:pPr>
            <w:r>
              <w:rPr>
                <w:rFonts w:ascii="Times New Roman" w:hAnsi="Times New Roman" w:cs="Times New Roman" w:eastAsia="Times New Roman"/>
                <w:color w:val="000000"/>
                <w:sz w:val="24"/>
                <w:szCs w:val="24"/>
              </w:rPr>
              <w:t>100</w:t>
            </w:r>
          </w:p>
        </w:tc>
      </w:tr>
      <w:tr>
        <w:trPr>
          <w:cantSplit/>
        </w:trPr>
        <w:tc>
          <w:tcPr>
            <w:tcW w:type="dxa" w:w="2880"/>
          </w:tcPr>
          <w:p>
            <w:pPr>
              <w:keepNext/>
            </w:pPr>
            <w:r>
              <w:rPr>
                <w:rFonts w:ascii="Times New Roman" w:hAnsi="Times New Roman" w:cs="Times New Roman" w:eastAsia="Times New Roman"/>
                <w:color w:val="000000"/>
                <w:sz w:val="24"/>
                <w:szCs w:val="24"/>
              </w:rPr>
              <w:t>pareto_a25</w:t>
            </w:r>
          </w:p>
        </w:tc>
        <w:tc>
          <w:tcPr>
            <w:tcW w:type="dxa" w:w="821"/>
          </w:tcPr>
          <w:p>
            <w:pPr>
              <w:keepNext/>
            </w:pPr>
            <w:r>
              <w:rPr>
                <w:rFonts w:ascii="Times New Roman" w:hAnsi="Times New Roman" w:cs="Times New Roman" w:eastAsia="Times New Roman"/>
                <w:color w:val="000000"/>
                <w:sz w:val="24"/>
                <w:szCs w:val="24"/>
              </w:rPr>
              <w:t>0</w:t>
            </w:r>
          </w:p>
        </w:tc>
        <w:tc>
          <w:tcPr>
            <w:tcW w:type="dxa" w:w="821"/>
          </w:tcPr>
          <w:p>
            <w:pPr>
              <w:keepNext/>
            </w:pPr>
            <w:r>
              <w:rPr>
                <w:rFonts w:ascii="Times New Roman" w:hAnsi="Times New Roman" w:cs="Times New Roman" w:eastAsia="Times New Roman"/>
                <w:color w:val="000000"/>
                <w:sz w:val="24"/>
                <w:szCs w:val="24"/>
              </w:rPr>
              <w:t>9.7</w:t>
            </w:r>
          </w:p>
        </w:tc>
        <w:tc>
          <w:tcPr>
            <w:tcW w:type="dxa" w:w="821"/>
          </w:tcPr>
          <w:p>
            <w:pPr>
              <w:keepNext/>
            </w:pPr>
            <w:r>
              <w:rPr>
                <w:rFonts w:ascii="Times New Roman" w:hAnsi="Times New Roman" w:cs="Times New Roman" w:eastAsia="Times New Roman"/>
                <w:color w:val="000000"/>
                <w:sz w:val="24"/>
                <w:szCs w:val="24"/>
              </w:rPr>
              <w:t>61.2</w:t>
            </w:r>
          </w:p>
        </w:tc>
        <w:tc>
          <w:tcPr>
            <w:tcW w:type="dxa" w:w="821"/>
          </w:tcPr>
          <w:p>
            <w:pPr>
              <w:keepNext/>
            </w:pPr>
            <w:r>
              <w:rPr>
                <w:rFonts w:ascii="Times New Roman" w:hAnsi="Times New Roman" w:cs="Times New Roman" w:eastAsia="Times New Roman"/>
                <w:color w:val="000000"/>
                <w:sz w:val="24"/>
                <w:szCs w:val="24"/>
              </w:rPr>
              <w:t>84</w:t>
            </w:r>
          </w:p>
        </w:tc>
        <w:tc>
          <w:tcPr>
            <w:tcW w:type="dxa" w:w="821"/>
          </w:tcPr>
          <w:p>
            <w:pPr>
              <w:keepNext/>
            </w:pPr>
            <w:r>
              <w:rPr>
                <w:rFonts w:ascii="Times New Roman" w:hAnsi="Times New Roman" w:cs="Times New Roman" w:eastAsia="Times New Roman"/>
                <w:color w:val="000000"/>
                <w:sz w:val="24"/>
                <w:szCs w:val="24"/>
              </w:rPr>
              <w:t>97.1</w:t>
            </w:r>
          </w:p>
        </w:tc>
        <w:tc>
          <w:tcPr>
            <w:tcW w:type="dxa" w:w="821"/>
          </w:tcPr>
          <w:p>
            <w:pPr>
              <w:keepNext/>
            </w:pPr>
            <w:r>
              <w:rPr>
                <w:rFonts w:ascii="Times New Roman" w:hAnsi="Times New Roman" w:cs="Times New Roman" w:eastAsia="Times New Roman"/>
                <w:color w:val="000000"/>
                <w:sz w:val="24"/>
                <w:szCs w:val="24"/>
              </w:rPr>
              <w:t>100</w:t>
            </w:r>
          </w:p>
        </w:tc>
        <w:tc>
          <w:tcPr>
            <w:tcW w:type="dxa" w:w="821"/>
          </w:tcPr>
          <w:p>
            <w:r>
              <w:rPr>
                <w:rFonts w:ascii="Times New Roman" w:hAnsi="Times New Roman" w:cs="Times New Roman" w:eastAsia="Times New Roman"/>
                <w:color w:val="000000"/>
                <w:sz w:val="24"/>
                <w:szCs w:val="24"/>
              </w:rPr>
              <w:t>100</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0" name="Picture 10"/>
            <wp:cNvGraphicFramePr>
              <a:graphicFrameLocks noChangeAspect="1"/>
            </wp:cNvGraphicFramePr>
            <a:graphic>
              <a:graphicData uri="http://schemas.openxmlformats.org/drawingml/2006/picture">
                <pic:pic>
                  <pic:nvPicPr>
                    <pic:cNvPr id="0" name="fig10_boundary_interior.png"/>
                    <pic:cNvPicPr/>
                  </pic:nvPicPr>
                  <pic:blipFill>
                    <a:blip r:embed="rId18"/>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10. </w:t>
      </w:r>
      <w:r>
        <w:rPr>
          <w:rFonts w:ascii="Times New Roman" w:hAnsi="Times New Roman" w:cs="Times New Roman" w:eastAsia="Times New Roman"/>
          <w:sz w:val="20"/>
          <w:color w:val="000000"/>
          <w:szCs w:val="20"/>
        </w:rPr>
        <w:t>(a) Fraction of the full nonuniform gap closed by six boundary (first/last three) vs six interior degrees of freedom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 (b) Optimal interval minus uniform interval by session position.</w:t>
      </w:r>
    </w:p>
    <w:p>
      <w:r>
        <w:rPr>
          <w:rFonts w:ascii="Times New Roman" w:hAnsi="Times New Roman" w:cs="Times New Roman" w:eastAsia="Times New Roman"/>
          <w:color w:val="000000"/>
          <w:sz w:val="24"/>
          <w:szCs w:val="24"/>
        </w:rPr>
        <w:t xml:space="preserve">Three constructed stress regimes bound the finding's scope (Fig. 11(a), Table 6): when service means drift across the session, when a known long-consultation subtype recurs every fifth patient, or when overtime is priced at </w:t>
      </w:r>
      <m:oMath>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8</m:t>
        </m:r>
      </m:oMath>
      <w:r>
        <w:rPr>
          <w:rFonts w:ascii="Times New Roman" w:hAnsi="Times New Roman" w:cs="Times New Roman" w:eastAsia="Times New Roman"/>
          <w:color w:val="000000"/>
          <w:sz w:val="24"/>
          <w:szCs w:val="24"/>
        </w:rPr>
        <w:t xml:space="preserve">, uniform-interval regret versus the full design rises to 27%, 32% and 4% respectively — complexity can pay where heterogeneity is structured and known. The gap is also scale-dependent (Fig. 11(b)): absolute regret grows from 3.2 to 7.5 cost units as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runs from 5 to 50 while relative regret falls from 3.7% to 0.9%, so the scalar interval is at its best precisely in the long sessions where delay cascades are worst.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486025"/>
            <wp:docPr id="11" name="Picture 11"/>
            <wp:cNvGraphicFramePr>
              <a:graphicFrameLocks noChangeAspect="1"/>
            </wp:cNvGraphicFramePr>
            <a:graphic>
              <a:graphicData uri="http://schemas.openxmlformats.org/drawingml/2006/picture">
                <pic:pic>
                  <pic:nvPicPr>
                    <pic:cNvPr id="0" name="fig11_counterexamples_gap_vs_N.png"/>
                    <pic:cNvPicPr/>
                  </pic:nvPicPr>
                  <pic:blipFill>
                    <a:blip r:embed="rId19"/>
                    <a:stretch>
                      <a:fillRect/>
                    </a:stretch>
                  </pic:blipFill>
                  <pic:spPr>
                    <a:xfrm>
                      <a:off x="0" y="0"/>
                      <a:ext cx="5486400" cy="2486025"/>
                    </a:xfrm>
                    <a:prstGeom prst="rect"/>
                  </pic:spPr>
                </pic:pic>
              </a:graphicData>
            </a:graphic>
          </wp:inline>
        </w:drawing>
      </w:r>
    </w:p>
    <w:p>
      <w:pPr>
        <w:spacing w:before="240"/>
      </w:pPr>
      <w:r>
        <w:rPr>
          <w:rFonts w:ascii="Times New Roman" w:hAnsi="Times New Roman" w:cs="Times New Roman" w:eastAsia="Times New Roman"/>
          <w:b/>
          <w:sz w:val="20"/>
          <w:color w:val="000000"/>
          <w:szCs w:val="20"/>
        </w:rPr>
        <w:t xml:space="preserve">Figure 11. </w:t>
      </w:r>
      <w:r>
        <w:rPr>
          <w:rFonts w:ascii="Times New Roman" w:hAnsi="Times New Roman" w:cs="Times New Roman" w:eastAsia="Times New Roman"/>
          <w:sz w:val="20"/>
          <w:color w:val="000000"/>
          <w:szCs w:val="20"/>
        </w:rPr>
        <w:t xml:space="preserve">(a) Uniform-policy regret vs full design under nonstationary service, high overtime weight, and known heterogeneity. (b) Absolute gap and relative regret vs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keepNext/>
        <w:spacing w:before="240"/>
      </w:pPr>
      <w:r>
        <w:rPr>
          <w:rFonts w:ascii="Times New Roman" w:hAnsi="Times New Roman" w:cs="Times New Roman" w:eastAsia="Times New Roman"/>
          <w:b/>
          <w:sz w:val="20"/>
          <w:color w:val="000000"/>
          <w:szCs w:val="20"/>
        </w:rPr>
        <w:t xml:space="preserve">Table 6. </w:t>
      </w:r>
      <w:r>
        <w:rPr>
          <w:rFonts w:ascii="Times New Roman" w:hAnsi="Times New Roman" w:cs="Times New Roman" w:eastAsia="Times New Roman"/>
          <w:sz w:val="20"/>
          <w:color w:val="000000"/>
          <w:szCs w:val="20"/>
        </w:rPr>
        <w:t>Counterexample regimes: expected cost of optimized uniform vs full nonuniform design.</w:t>
      </w:r>
    </w:p>
    <w:tbl>
      <w:tblPr>
        <w:tblStyle w:val="LightGrid-Accent1"/>
        <w:tblW w:type="auto" w:w="0"/>
        <w:jc w:val="center"/>
        <w:tblLayout w:type="fixed"/>
        <w:tblLook w:firstColumn="1" w:firstRow="1" w:lastColumn="0" w:lastRow="0" w:noHBand="0" w:noVBand="1" w:val="04A0"/>
      </w:tblPr>
      <w:tblGrid>
        <w:gridCol w:w="3888"/>
        <w:gridCol w:w="1728"/>
        <w:gridCol w:w="1584"/>
        <w:gridCol w:w="1728"/>
      </w:tblGrid>
      <w:tr>
        <w:trPr>
          <w:cantSplit/>
          <w:tblHeader/>
        </w:trPr>
        <w:tc>
          <w:tcPr>
            <w:tcW w:type="dxa" w:w="3888"/>
          </w:tcPr>
          <w:p>
            <w:pPr>
              <w:keepNext/>
            </w:pPr>
            <w:r>
              <w:rPr>
                <w:rFonts w:ascii="Times New Roman" w:hAnsi="Times New Roman" w:cs="Times New Roman" w:eastAsia="Times New Roman"/>
                <w:color w:val="000000"/>
                <w:sz w:val="24"/>
                <w:szCs w:val="24"/>
              </w:rPr>
              <w:t>case</w:t>
            </w:r>
          </w:p>
        </w:tc>
        <w:tc>
          <w:tcPr>
            <w:tcW w:type="dxa" w:w="1728"/>
          </w:tcPr>
          <w:p>
            <w:pPr>
              <w:keepNext/>
            </w:pPr>
            <w:r>
              <w:rPr>
                <w:rFonts w:ascii="Times New Roman" w:hAnsi="Times New Roman" w:cs="Times New Roman" w:eastAsia="Times New Roman"/>
                <w:color w:val="000000"/>
                <w:sz w:val="24"/>
                <w:szCs w:val="24"/>
              </w:rPr>
              <w:t>C_uniform</w:t>
            </w:r>
          </w:p>
        </w:tc>
        <w:tc>
          <w:tcPr>
            <w:tcW w:type="dxa" w:w="1584"/>
          </w:tcPr>
          <w:p>
            <w:pPr>
              <w:keepNext/>
            </w:pPr>
            <w:r>
              <w:rPr>
                <w:rFonts w:ascii="Times New Roman" w:hAnsi="Times New Roman" w:cs="Times New Roman" w:eastAsia="Times New Roman"/>
                <w:color w:val="000000"/>
                <w:sz w:val="24"/>
                <w:szCs w:val="24"/>
              </w:rPr>
              <w:t>C_full</w:t>
            </w:r>
          </w:p>
        </w:tc>
        <w:tc>
          <w:tcPr>
            <w:tcW w:type="dxa" w:w="1728"/>
          </w:tcPr>
          <w:p>
            <w:pPr>
              <w:keepNext/>
            </w:pPr>
            <w:r>
              <w:rPr>
                <w:rFonts w:ascii="Times New Roman" w:hAnsi="Times New Roman" w:cs="Times New Roman" w:eastAsia="Times New Roman"/>
                <w:color w:val="000000"/>
                <w:sz w:val="24"/>
                <w:szCs w:val="24"/>
              </w:rPr>
              <w:t>regret_pct</w:t>
            </w:r>
          </w:p>
        </w:tc>
      </w:tr>
      <w:tr>
        <w:trPr>
          <w:cantSplit/>
        </w:trPr>
        <w:tc>
          <w:tcPr>
            <w:tcW w:type="dxa" w:w="3888"/>
          </w:tcPr>
          <w:p>
            <w:pPr>
              <w:keepNext/>
            </w:pPr>
            <w:r>
              <w:rPr>
                <w:rFonts w:ascii="Times New Roman" w:hAnsi="Times New Roman" w:cs="Times New Roman" w:eastAsia="Times New Roman"/>
                <w:color w:val="000000"/>
                <w:sz w:val="24"/>
                <w:szCs w:val="24"/>
              </w:rPr>
              <w:t>nonstationary</w:t>
            </w:r>
          </w:p>
        </w:tc>
        <w:tc>
          <w:tcPr>
            <w:tcW w:type="dxa" w:w="1728"/>
          </w:tcPr>
          <w:p>
            <w:pPr>
              <w:keepNext/>
            </w:pPr>
            <w:r>
              <w:rPr>
                <w:rFonts w:ascii="Times New Roman" w:hAnsi="Times New Roman" w:cs="Times New Roman" w:eastAsia="Times New Roman"/>
                <w:color w:val="000000"/>
                <w:sz w:val="24"/>
                <w:szCs w:val="24"/>
              </w:rPr>
              <w:t>691.5</w:t>
            </w:r>
          </w:p>
        </w:tc>
        <w:tc>
          <w:tcPr>
            <w:tcW w:type="dxa" w:w="1584"/>
          </w:tcPr>
          <w:p>
            <w:pPr>
              <w:keepNext/>
            </w:pPr>
            <w:r>
              <w:rPr>
                <w:rFonts w:ascii="Times New Roman" w:hAnsi="Times New Roman" w:cs="Times New Roman" w:eastAsia="Times New Roman"/>
                <w:color w:val="000000"/>
                <w:sz w:val="24"/>
                <w:szCs w:val="24"/>
              </w:rPr>
              <w:t>544.7</w:t>
            </w:r>
          </w:p>
        </w:tc>
        <w:tc>
          <w:tcPr>
            <w:tcW w:type="dxa" w:w="1728"/>
          </w:tcPr>
          <w:p>
            <w:pPr>
              <w:keepNext/>
            </w:pPr>
            <w:r>
              <w:rPr>
                <w:rFonts w:ascii="Times New Roman" w:hAnsi="Times New Roman" w:cs="Times New Roman" w:eastAsia="Times New Roman"/>
                <w:color w:val="000000"/>
                <w:sz w:val="24"/>
                <w:szCs w:val="24"/>
              </w:rPr>
              <w:t>26.9</w:t>
            </w:r>
          </w:p>
        </w:tc>
      </w:tr>
      <w:tr>
        <w:trPr>
          <w:cantSplit/>
        </w:trPr>
        <w:tc>
          <w:tcPr>
            <w:tcW w:type="dxa" w:w="3888"/>
          </w:tcPr>
          <w:p>
            <w:pPr>
              <w:keepNext/>
            </w:pPr>
            <w:r>
              <w:rPr>
                <w:rFonts w:ascii="Times New Roman" w:hAnsi="Times New Roman" w:cs="Times New Roman" w:eastAsia="Times New Roman"/>
                <w:color w:val="000000"/>
                <w:sz w:val="24"/>
                <w:szCs w:val="24"/>
              </w:rPr>
              <w:t>high_overtime</w:t>
            </w:r>
          </w:p>
        </w:tc>
        <w:tc>
          <w:tcPr>
            <w:tcW w:type="dxa" w:w="1728"/>
          </w:tcPr>
          <w:p>
            <w:pPr>
              <w:keepNext/>
            </w:pPr>
            <w:r>
              <w:rPr>
                <w:rFonts w:ascii="Times New Roman" w:hAnsi="Times New Roman" w:cs="Times New Roman" w:eastAsia="Times New Roman"/>
                <w:color w:val="000000"/>
                <w:sz w:val="24"/>
                <w:szCs w:val="24"/>
              </w:rPr>
              <w:t>622.9</w:t>
            </w:r>
          </w:p>
        </w:tc>
        <w:tc>
          <w:tcPr>
            <w:tcW w:type="dxa" w:w="1584"/>
          </w:tcPr>
          <w:p>
            <w:pPr>
              <w:keepNext/>
            </w:pPr>
            <w:r>
              <w:rPr>
                <w:rFonts w:ascii="Times New Roman" w:hAnsi="Times New Roman" w:cs="Times New Roman" w:eastAsia="Times New Roman"/>
                <w:color w:val="000000"/>
                <w:sz w:val="24"/>
                <w:szCs w:val="24"/>
              </w:rPr>
              <w:t>597.9</w:t>
            </w:r>
          </w:p>
        </w:tc>
        <w:tc>
          <w:tcPr>
            <w:tcW w:type="dxa" w:w="1728"/>
          </w:tcPr>
          <w:p>
            <w:pPr>
              <w:keepNext/>
            </w:pPr>
            <w:r>
              <w:rPr>
                <w:rFonts w:ascii="Times New Roman" w:hAnsi="Times New Roman" w:cs="Times New Roman" w:eastAsia="Times New Roman"/>
                <w:color w:val="000000"/>
                <w:sz w:val="24"/>
                <w:szCs w:val="24"/>
              </w:rPr>
              <w:t>4.2</w:t>
            </w:r>
          </w:p>
        </w:tc>
      </w:tr>
      <w:tr>
        <w:trPr>
          <w:cantSplit/>
        </w:trPr>
        <w:tc>
          <w:tcPr>
            <w:tcW w:type="dxa" w:w="3888"/>
          </w:tcPr>
          <w:p>
            <w:pPr>
              <w:keepNext/>
            </w:pPr>
            <w:r>
              <w:rPr>
                <w:rFonts w:ascii="Times New Roman" w:hAnsi="Times New Roman" w:cs="Times New Roman" w:eastAsia="Times New Roman"/>
                <w:color w:val="000000"/>
                <w:sz w:val="24"/>
                <w:szCs w:val="24"/>
              </w:rPr>
              <w:t>known_hetero</w:t>
            </w:r>
          </w:p>
        </w:tc>
        <w:tc>
          <w:tcPr>
            <w:tcW w:type="dxa" w:w="1728"/>
          </w:tcPr>
          <w:p>
            <w:pPr>
              <w:keepNext/>
            </w:pPr>
            <w:r>
              <w:rPr>
                <w:rFonts w:ascii="Times New Roman" w:hAnsi="Times New Roman" w:cs="Times New Roman" w:eastAsia="Times New Roman"/>
                <w:color w:val="000000"/>
                <w:sz w:val="24"/>
                <w:szCs w:val="24"/>
              </w:rPr>
              <w:t>412.4</w:t>
            </w:r>
          </w:p>
        </w:tc>
        <w:tc>
          <w:tcPr>
            <w:tcW w:type="dxa" w:w="1584"/>
          </w:tcPr>
          <w:p>
            <w:pPr>
              <w:keepNext/>
            </w:pPr>
            <w:r>
              <w:rPr>
                <w:rFonts w:ascii="Times New Roman" w:hAnsi="Times New Roman" w:cs="Times New Roman" w:eastAsia="Times New Roman"/>
                <w:color w:val="000000"/>
                <w:sz w:val="24"/>
                <w:szCs w:val="24"/>
              </w:rPr>
              <w:t>312.5</w:t>
            </w:r>
          </w:p>
        </w:tc>
        <w:tc>
          <w:tcPr>
            <w:tcW w:type="dxa" w:w="1728"/>
          </w:tcPr>
          <w:p>
            <w:r>
              <w:rPr>
                <w:rFonts w:ascii="Times New Roman" w:hAnsi="Times New Roman" w:cs="Times New Roman" w:eastAsia="Times New Roman"/>
                <w:color w:val="000000"/>
                <w:sz w:val="24"/>
                <w:szCs w:val="24"/>
              </w:rPr>
              <w:t>32</w:t>
            </w:r>
          </w:p>
        </w:tc>
      </w:tr>
    </w:tbl>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[6, 7, 30-33] and the asymptotic optimality of constant policies [15, 16] by quantifying finite-session regret — with overtime included — the marginal value of added schedule complexity, and the boundary positions where that value concentrates. Within this journal, slot-structure design for clinical scheduling [11], simulation-based healthcare planning [9, 10, 12], and patient-flow studies linking accumulated delay to provider burden [34] form the service-planning conversation that our complexity analysis extends: the planning question is not only which interval to use but how much scheduling complexity is worth buying.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[13, 20, 24].</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and the simplicity result is conditional on homogeneous, stationary service and moderate overtime pricing — Section 4.7 shows structured heterogeneity and extreme overtime cost are where richer designs pay. Interruption- and lateness-aware designs [35] address a complementary realism axis.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[3-5, 35-37].</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 The residual value of slot-by-slot freedom concentrates in a few boundary positions and can pay where service heterogeneity is structured or overtime is dominant.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[4]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[5]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[6]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[7]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[9] Shoaib M, Mustafee N, Madan K, Ramamohan V. Leveraging multi-tier healthcare facility network simulations for capacity planning in a pandemic. Socio-Economic Planning Sciences 2023;88:101660. https://doi.org/10.1016/j.seps.2023.101660.</w:t>
      </w:r>
    </w:p>
    <w:p>
      <w:r>
        <w:rPr>
          <w:rFonts w:ascii="Times New Roman" w:hAnsi="Times New Roman" w:cs="Times New Roman" w:eastAsia="Times New Roman"/>
          <w:color w:val="000000"/>
          <w:sz w:val="24"/>
          <w:szCs w:val="24"/>
        </w:rPr>
        <w:t>[10] Alaouchiche Y, Ouazene Y, Yalaoui F, Chehade H. Workload balancing for the nurse scheduling problem: A real-world case study from a French hospital. Socio-Economic Planning Sciences 2024;95:102046. https://doi.org/10.1016/j.seps.2024.102046.</w:t>
      </w:r>
    </w:p>
    <w:p>
      <w:r>
        <w:rPr>
          <w:rFonts w:ascii="Times New Roman" w:hAnsi="Times New Roman" w:cs="Times New Roman" w:eastAsia="Times New Roman"/>
          <w:color w:val="000000"/>
          <w:sz w:val="24"/>
          <w:szCs w:val="24"/>
        </w:rPr>
        <w:t>[11] Chakraborty S, Muthuraman K, Lawley M. Sequential clinical scheduling with patient no-show: The impact of pre-defined slot structures. Socio-Economic Planning Sciences 2013;47(3):205-219. https://doi.org/10.1016/j.seps.2012.11.003.</w:t>
      </w:r>
    </w:p>
    <w:p>
      <w:r>
        <w:rPr>
          <w:rFonts w:ascii="Times New Roman" w:hAnsi="Times New Roman" w:cs="Times New Roman" w:eastAsia="Times New Roman"/>
          <w:color w:val="000000"/>
          <w:sz w:val="24"/>
          <w:szCs w:val="24"/>
        </w:rPr>
        <w:t>[12] Acuna JA, Cantarino D, Martinez R, Zayas-Castro JL. A two-stage stochastic game model for elective surgical capacity planning and investment. Socio-Economic Planning Sciences 2024;91:101786. https://doi.org/10.1016/j.seps.2023.101786.</w:t>
      </w:r>
    </w:p>
    <w:p>
      <w:r>
        <w:rPr>
          <w:rFonts w:ascii="Times New Roman" w:hAnsi="Times New Roman" w:cs="Times New Roman" w:eastAsia="Times New Roman"/>
          <w:color w:val="000000"/>
          <w:sz w:val="24"/>
          <w:szCs w:val="24"/>
        </w:rPr>
        <w:t>[13]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[14]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[15] Armony M, Atar R, Honnappa H. Asymptotically optimal appointment schedules. Mathematics of Operations Research 2019;44(4):1345–1380. https://doi.org/10.1287/moor.2018.0973.</w:t>
      </w:r>
    </w:p>
    <w:p>
      <w:r>
        <w:rPr>
          <w:rFonts w:ascii="Times New Roman" w:hAnsi="Times New Roman" w:cs="Times New Roman" w:eastAsia="Times New Roman"/>
          <w:color w:val="000000"/>
          <w:sz w:val="24"/>
          <w:szCs w:val="24"/>
        </w:rPr>
        <w:t>[16] Zhou S, Ding Y, Huh WT, Wan G. Constant job-allowance policies for appointment scheduling: performance bounds and numerical analysis. Production and Operations Management 2021;30(7):2211–2231. https://doi.org/10.1111/poms.13362.</w:t>
      </w:r>
    </w:p>
    <w:p>
      <w:r>
        <w:rPr>
          <w:rFonts w:ascii="Times New Roman" w:hAnsi="Times New Roman" w:cs="Times New Roman" w:eastAsia="Times New Roman"/>
          <w:color w:val="000000"/>
          <w:sz w:val="24"/>
          <w:szCs w:val="24"/>
        </w:rPr>
        <w:t>[17]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[18]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[19] Bertsimas D, Sim M. The price of robustness. Operations Research 2004;52(1):35–53. https://doi.org/10.1287/opre.1030.0065.</w:t>
      </w:r>
    </w:p>
    <w:p>
      <w:r>
        <w:rPr>
          <w:rFonts w:ascii="Times New Roman" w:hAnsi="Times New Roman" w:cs="Times New Roman" w:eastAsia="Times New Roman"/>
          <w:color w:val="000000"/>
          <w:sz w:val="24"/>
          <w:szCs w:val="24"/>
        </w:rPr>
        <w:t>[20]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[21] Pinedo ML. Selected scheduling systems. In: Scheduling. Springer US; 2011. p. 611–613. https://doi.org/10.1007/978-1-4614-2361-4_27.</w:t>
      </w:r>
    </w:p>
    <w:p>
      <w:r>
        <w:rPr>
          <w:rFonts w:ascii="Times New Roman" w:hAnsi="Times New Roman" w:cs="Times New Roman" w:eastAsia="Times New Roman"/>
          <w:color w:val="000000"/>
          <w:sz w:val="24"/>
          <w:szCs w:val="24"/>
        </w:rPr>
        <w:t>[22] Soriano A. Comparison of two scheduling systems. Operations Research 1966;14(3):388–397. https://doi.org/10.1287/opre.14.3.388.</w:t>
      </w:r>
    </w:p>
    <w:p>
      <w:r>
        <w:rPr>
          <w:rFonts w:ascii="Times New Roman" w:hAnsi="Times New Roman" w:cs="Times New Roman" w:eastAsia="Times New Roman"/>
          <w:color w:val="000000"/>
          <w:sz w:val="24"/>
          <w:szCs w:val="24"/>
        </w:rPr>
        <w:t>[23]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[24]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[25]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[26]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[27]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[28]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[29]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[30]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[31]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[32]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[33]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[34] Cildoz M, Ibarra A, Mallor F. Coping with stress in emergency department physicians through improved patient-flow management. Socio-Economic Planning Sciences 2020;71:100828. https://doi.org/10.1016/j.seps.2020.100828.</w:t>
      </w:r>
    </w:p>
    <w:p>
      <w:r>
        <w:rPr>
          <w:rFonts w:ascii="Times New Roman" w:hAnsi="Times New Roman" w:cs="Times New Roman" w:eastAsia="Times New Roman"/>
          <w:color w:val="000000"/>
          <w:sz w:val="24"/>
          <w:szCs w:val="24"/>
        </w:rPr>
        <w:t>[35] Klassen KJ, Yoogalingam R. Appointment system design with interruptions and physician lateness. International Journal of Operations &amp; Production Management 2013;33(4):394–414. https://doi.org/10.1108/01443571311307253.</w:t>
      </w:r>
    </w:p>
    <w:p>
      <w:r>
        <w:rPr>
          <w:rFonts w:ascii="Times New Roman" w:hAnsi="Times New Roman" w:cs="Times New Roman" w:eastAsia="Times New Roman"/>
          <w:color w:val="000000"/>
          <w:sz w:val="24"/>
          <w:szCs w:val="24"/>
        </w:rPr>
        <w:t>[36]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[37] Wang J, Fung RYK. Dynamic appointment scheduling with patient preferences and choices. Industrial Management &amp; Data Systems 2015;115(4):700–717. https://doi.org/10.1108/imds-12-2014-0372.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