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Service-Time Distributional Uncertainty in Outpatient Scheduling: When Simple Interval Optimization Is Enough</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are typically designed around mean consultation time, yet consultation durations are strongly right-skewed and their upper tails vary across clinics and specialties. We study when and why fixed, mean-based appointment slots fail under distributional uncertainty in service times, using a finite-horizon Lindley-type delay recursion evaluated by large-scale Monte Carlo simulation. Holding the mean service time fixed, we vary only the distributional family and tail shape across gamma, Weibull, lognormal, two-component mixture, and Pareto-type designs. Fixed mean-based slots incur relative scheduling regret of 36.7%–71.3% versus an optimized benchmark across the ten specifications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(scenario-mean regret rises from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absolute regret grows roughly linearly in the coefficient of variation. The central result is one of simplicity: a single SAA-optimized uniform interval recovers nearly all attainable benefit (maximum relative regret 1.4% versus oracle), while nonuniform, CVaR-aware and distributionally robust designs add little incremental value in the studied domain. Misspecifying the service-time family can erase the gains of careful optimization — under-designing the interval costs about three times as much as over-designing on average — and when the true family is genuinely heavy-tailed, moment-fitted designs remain unreliable even at 1,000 historical observations. We translate the results into a value-of-optimization map over CV, tail ratio, and session size showing where the benefit of interval optimization is largest.</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Distributionally robust and conic designs hedge against limited distributional information [9, 10].</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[11].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4320"/>
        <w:gridCol w:w="4320"/>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[12-14], with general scheduling foundations in Pinedo [15], span: fixed mean-based slots; a conservative fixed slot (mean plus slack) [16, 17]; a quantile-based slot; a class-based rule using mixture-component labels where such classes are observable; SAA-optimized uniform and nonuniform intervals; a CVaR-penalized tail-aware uniform interval [12]; a distributionally robust (DRO) uniform interval hedging across a four-family ambiguity set; and the oracle. The DRO policy uses the worst-case expected-cost principle studied in limited-information appointment scheduling and broader DRO frameworks [9, 10, 14, 18, 19].</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[20-23].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24-27] by quantifying the marginal value of added schedule complexity in the tested setting.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[9, 14, 18].</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28-30].</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[10]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[11]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[12]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[13] Bertsimas D, Sim M. The price of robustness. Operations Research 2004;52(1):35–53. https://doi.org/10.1287/opre.1030.0065.</w:t>
      </w:r>
    </w:p>
    <w:p>
      <w:r>
        <w:rPr>
          <w:rFonts w:ascii="Times New Roman" w:hAnsi="Times New Roman" w:cs="Times New Roman" w:eastAsia="Times New Roman"/>
          <w:color w:val="000000"/>
          <w:sz w:val="24"/>
          <w:szCs w:val="24"/>
        </w:rPr>
        <w:t>[14]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[15] Pinedo ML. Selected scheduling systems. In: Scheduling. Springer US; 2011. p. 611–613. https://doi.org/10.1007/978-1-4614-2361-4_27.</w:t>
      </w:r>
    </w:p>
    <w:p>
      <w:r>
        <w:rPr>
          <w:rFonts w:ascii="Times New Roman" w:hAnsi="Times New Roman" w:cs="Times New Roman" w:eastAsia="Times New Roman"/>
          <w:color w:val="000000"/>
          <w:sz w:val="24"/>
          <w:szCs w:val="24"/>
        </w:rPr>
        <w:t>[16] Soriano A. Comparison of two scheduling systems. Operations Research 1966;14(3):388–397. https://doi.org/10.1287/opre.14.3.388.</w:t>
      </w:r>
    </w:p>
    <w:p>
      <w:r>
        <w:rPr>
          <w:rFonts w:ascii="Times New Roman" w:hAnsi="Times New Roman" w:cs="Times New Roman" w:eastAsia="Times New Roman"/>
          <w:color w:val="000000"/>
          <w:sz w:val="24"/>
          <w:szCs w:val="24"/>
        </w:rPr>
        <w:t>[17]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[18]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[19]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[20]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[21]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[22]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[23]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[24]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[25]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[26]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[27]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[28]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[29] Wang J, Fung RYK. Dynamic appointment scheduling with patient preferences and choices. Industrial Management &amp; Data Systems 2015;115(4):700–717. https://doi.org/10.1108/imds-12-2014-0372.</w:t>
      </w:r>
    </w:p>
    <w:p>
      <w:r>
        <w:rPr>
          <w:rFonts w:ascii="Times New Roman" w:hAnsi="Times New Roman" w:cs="Times New Roman" w:eastAsia="Times New Roman"/>
          <w:color w:val="000000"/>
          <w:sz w:val="24"/>
          <w:szCs w:val="24"/>
        </w:rPr>
        <w:t>[30] Klassen KJ, Yoogalingam R. Appointment system design with interruptions and physician lateness. International Journal of Operations &amp; Production Management 2013;33(4):394–414. https://doi.org/10.1108/01443571311307253.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