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Times New Roman"/>
          <w:sz w:val="36"/>
          <w:szCs w:val="36"/>
        </w:rPr>
        <w:t>Supplementary Material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>Supplement to: Service-Time Distributional Uncertainty in Outpatient Scheduling: When Simple Interval Optimization Is Enough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24"/>
          <w:szCs w:val="24"/>
        </w:rPr>
        <w:t>S1. Full performance table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>policy_performance.csv contains 82 rows: 10 service-time specs x 9 policies, evaluated on 100,000 sessions each (fresh draws).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24"/>
          <w:szCs w:val="24"/>
        </w:rPr>
        <w:t>S2. Delay cascade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A single 45-min consultation injected at successive positions; cascade length = downstream appointments with </w:t>
      </w:r>
      <m:oMath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&gt;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1</m:t>
        </m:r>
      </m:oMath>
      <w:r>
        <w:rPr>
          <w:rFonts w:ascii="Times New Roman" w:hAnsi="Times New Roman" w:cs="Times New Roman" w:eastAsia="Times New Roman"/>
          <w:sz w:val="24"/>
          <w:szCs w:val="24"/>
        </w:rPr>
        <w:t xml:space="preserve"> min added waiting (Figure 6).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4572000" cy="269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asc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Times New Roman"/>
          <w:b/>
          <w:sz w:val="20"/>
          <w:szCs w:val="20"/>
        </w:rPr>
        <w:t xml:space="preserve">Figure 6. </w:t>
      </w:r>
      <w:r>
        <w:rPr>
          <w:rFonts w:ascii="Times New Roman" w:hAnsi="Times New Roman" w:cs="Times New Roman" w:eastAsia="Times New Roman"/>
          <w:sz w:val="20"/>
          <w:szCs w:val="20"/>
        </w:rPr>
        <w:t>Delay cascade from a single injected 45-min consultation.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24"/>
          <w:szCs w:val="24"/>
        </w:rPr>
        <w:t>S3. Estimation uncertainty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Moment-fitted gamma design vs historical sample size </w:t>
      </w:r>
      <m:oMath>
        <m:r>
          <m:rPr>
            <m:sty m:val="i"/>
          </m:rPr>
          <w:rPr>
            <w:rFonts w:ascii="Times New Roman" w:hAnsi="Times New Roman" w:cs="Times New Roman" w:eastAsia="Times New Roman"/>
            <w:sz w:val="24"/>
            <w:szCs w:val="24"/>
          </w:rPr>
          <m:t>n</m:t>
        </m:r>
      </m:oMath>
      <w:r>
        <w:rPr>
          <w:rFonts w:ascii="Times New Roman" w:hAnsi="Times New Roman" w:cs="Times New Roman" w:eastAsia="Times New Roman"/>
          <w:sz w:val="24"/>
          <w:szCs w:val="24"/>
        </w:rPr>
        <w:t xml:space="preserve">;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Times New Roman"/>
                <w:sz w:val="24"/>
                <w:szCs w:val="24"/>
              </w:rPr>
              <m:t>Q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Times New Roman"/>
                <w:sz w:val="24"/>
                <w:szCs w:val="24"/>
              </w:rPr>
              <m:t>90</m:t>
            </m:r>
          </m:sub>
        </m:sSub>
      </m:oMath>
      <w:r>
        <w:rPr>
          <w:rFonts w:ascii="Times New Roman" w:hAnsi="Times New Roman" w:cs="Times New Roman" w:eastAsia="Times New Roman"/>
          <w:sz w:val="24"/>
          <w:szCs w:val="24"/>
        </w:rPr>
        <w:t xml:space="preserve"> regret over 400 replications per cell (Figure S1).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029200" cy="2917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esti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Times New Roman"/>
          <w:b/>
          <w:sz w:val="20"/>
          <w:szCs w:val="20"/>
        </w:rPr>
        <w:t xml:space="preserve">Figure S1. </w:t>
      </w:r>
      <w:r>
        <w:rPr>
          <w:rFonts w:ascii="Times New Roman" w:hAnsi="Times New Roman" w:cs="Times New Roman" w:eastAsia="Times New Roman"/>
          <w:sz w:val="20"/>
          <w:szCs w:val="20"/>
        </w:rPr>
        <w:t xml:space="preserve">Moment-fitted gamma design regret vs historical sample size </w:t>
      </w:r>
      <m:oMath>
        <m:r>
          <m:rPr>
            <m:sty m:val="i"/>
          </m:rPr>
          <w:rPr>
            <w:rFonts w:ascii="Times New Roman" w:hAnsi="Times New Roman" w:cs="Times New Roman" w:eastAsia="Times New Roman"/>
            <w:sz w:val="20"/>
            <w:szCs w:val="20"/>
          </w:rPr>
          <m:t>n</m:t>
        </m:r>
      </m:oMath>
      <w:r>
        <w:rPr>
          <w:rFonts w:ascii="Times New Roman" w:hAnsi="Times New Roman" w:cs="Times New Roman" w:eastAsia="Times New Roman"/>
          <w:sz w:val="20"/>
          <w:szCs w:val="20"/>
        </w:rPr>
        <w:t>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24"/>
          <w:szCs w:val="24"/>
        </w:rPr>
        <w:t>S4. Operational robustness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>Fixed vs tail-aware designs under no-shows (</w:t>
      </w:r>
      <m:oMath>
        <m:r>
          <m:rPr>
            <m:sty m:val="i"/>
          </m:rPr>
          <w:rPr>
            <w:rFonts w:ascii="Times New Roman" w:hAnsi="Times New Roman" w:cs="Times New Roman" w:eastAsia="Times New Roman"/>
            <w:sz w:val="24"/>
            <w:szCs w:val="24"/>
          </w:rPr>
          <m:t>p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∈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{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0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,</m:t>
        </m:r>
        <m:r>
          <m:rPr>
            <m:sty m:val="i"/>
          </m:rPr>
          <w:rPr>
            <w:rFonts w:ascii="Times New Roman" w:hAnsi="Times New Roman" w:cs="Times New Roman" w:eastAsia="Times New Roman"/>
            <w:sz w:val="24"/>
            <w:szCs w:val="24"/>
          </w:rPr>
          <m:t>.05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,</m:t>
        </m:r>
        <m:r>
          <m:rPr>
            <m:sty m:val="i"/>
          </m:rPr>
          <w:rPr>
            <w:rFonts w:ascii="Times New Roman" w:hAnsi="Times New Roman" w:cs="Times New Roman" w:eastAsia="Times New Roman"/>
            <w:sz w:val="24"/>
            <w:szCs w:val="24"/>
          </w:rPr>
          <m:t>.10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,</m:t>
        </m:r>
        <m:r>
          <m:rPr>
            <m:sty m:val="i"/>
          </m:rPr>
          <w:rPr>
            <w:rFonts w:ascii="Times New Roman" w:hAnsi="Times New Roman" w:cs="Times New Roman" w:eastAsia="Times New Roman"/>
            <w:sz w:val="24"/>
            <w:szCs w:val="24"/>
          </w:rPr>
          <m:t>.20</m:t>
        </m:r>
        <m:r>
          <m:rPr>
            <m:sty m:val="p"/>
          </m:rPr>
          <w:rPr>
            <w:rFonts w:ascii="Times New Roman" w:hAnsi="Times New Roman" w:cs="Times New Roman" w:eastAsia="Times New Roman"/>
            <w:sz w:val="24"/>
            <w:szCs w:val="24"/>
          </w:rPr>
          <m:t>}</m:t>
        </m:r>
      </m:oMath>
      <w:r>
        <w:rPr>
          <w:rFonts w:ascii="Times New Roman" w:hAnsi="Times New Roman" w:cs="Times New Roman" w:eastAsia="Times New Roman"/>
          <w:sz w:val="24"/>
          <w:szCs w:val="24"/>
        </w:rPr>
        <w:t>) and arrival jitter (sd 0 or 2 min). See operational_robustness.csv.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Times New Roman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sz w:val="24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 w:themeColor="text1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365F91" w:themeColor="accent1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943634" w:themeColor="accent2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76923C" w:themeColor="accent3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5F497A" w:themeColor="accent4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31849B" w:themeColor="accent5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E36C0A" w:themeColor="accent6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9E3A38" w:themeColor="accent2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9E3A38" w:themeColor="accent2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9E3A38" w:themeColor="accent2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664E82" w:themeColor="accent4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7E9C40" w:themeColor="accent3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F2730A" w:themeColor="accent6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348DA5" w:themeColor="accent5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 w:themeColor="text1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365F91" w:themeColor="accent1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943634" w:themeColor="accent2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76923C" w:themeColor="accent3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5F497A" w:themeColor="accent4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31849B" w:themeColor="accent5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E36C0A" w:themeColor="accent6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auto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1F497D" w:themeColor="text2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 w:themeColor="text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FFFFFF" w:themeColor="background1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FFFFFF" w:themeColor="background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 w:themeColor="text1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9E3A38" w:themeColor="accent2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9E3A38" w:themeColor="accent2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9E3A38" w:themeColor="accent2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664E82" w:themeColor="accent4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7E9C40" w:themeColor="accent3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F2730A" w:themeColor="accent6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FFFFFF" w:themeColor="background1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348DA5" w:themeColor="accent5" w:themeShade="CC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 w:themeColor="text1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FFFFFF" w:themeColor="background1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