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Supplement to: Service-Time Distributional Uncertainty in Outpatient Scheduling: When Simple Interval Optimization Is Enough</w:t>
      </w:r>
    </w:p>
    <w:p>
      <w:pPr>
        <w:pStyle w:val="Heading1"/>
      </w:pPr>
      <w:r>
        <w:t>S1. Full performance table</w:t>
      </w:r>
    </w:p>
    <w:p>
      <w:r>
        <w:t>policy_performance.csv contains 82 rows: 10 service-time specs x 9 policies, evaluated on 100,000 sessions each (fresh draws).</w:t>
      </w:r>
    </w:p>
    <w:p>
      <w:pPr>
        <w:pStyle w:val="Heading1"/>
      </w:pPr>
      <w:r>
        <w:t>S2. Delay cascade</w:t>
      </w:r>
    </w:p>
    <w:p>
      <w:r>
        <w:t>A single 45-min consultation injected at successive positions; cascade length = downstream appointments with &gt;1 min added waiting.</w:t>
      </w:r>
    </w:p>
    <w:p>
      <w:r>
        <w:drawing>
          <wp:inline xmlns:a="http://schemas.openxmlformats.org/drawingml/2006/main" xmlns:pic="http://schemas.openxmlformats.org/drawingml/2006/picture">
            <wp:extent cx="4572000" cy="269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casc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S3. Estimation uncertainty</w:t>
      </w:r>
    </w:p>
    <w:p>
      <w:r>
        <w:t>Moment-fitted gamma design vs historical sample size n; Q90 regret over 400 replications per cell.</w:t>
      </w:r>
    </w:p>
    <w:p>
      <w:r>
        <w:drawing>
          <wp:inline xmlns:a="http://schemas.openxmlformats.org/drawingml/2006/main" xmlns:pic="http://schemas.openxmlformats.org/drawingml/2006/picture">
            <wp:extent cx="5029200" cy="2917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esti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S4. Operational robustness</w:t>
      </w:r>
    </w:p>
    <w:p>
      <w:r>
        <w:t>Fixed vs tail-aware designs under no-shows (p in {0,.05,.10,.20}) and arrival jitter (sd 0 or 2 min). See operational_robustness.csv.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