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May 06, 2026</w:t>
      </w:r>
    </w:p>
    <w:p>
      <w:pPr>
        <w:spacing w:after="0"/>
      </w:pPr>
      <w:r>
        <w:t>The Editors</w:t>
      </w:r>
    </w:p>
    <w:p>
      <w:pPr>
        <w:spacing w:after="0"/>
      </w:pPr>
      <w:r>
        <w:t>Social Science Research</w:t>
      </w:r>
    </w:p>
    <w:p/>
    <w:p>
      <w:pPr>
        <w:spacing w:after="240"/>
      </w:pPr>
      <w:r>
        <w:t>Dear Editors,</w:t>
      </w:r>
    </w:p>
    <w:p>
      <w:pPr>
        <w:spacing w:after="120"/>
      </w:pPr>
      <w:r>
        <w:t>We are pleased to submit our manuscript entitled "Trust-Adjusted Transparent Scoring with Unified Knowledge Integration (TATSUKI): An Agent-Based Model of Accountability-Driven Electoral Reform with Empirical Calibration" for consideration for publication in Social Science Research. This manuscript was previously submitted to Electoral Studies (Manuscript No. [to be filled]) and is being transferred via the Elsevier transfer service at the suggestion of the Editorial Office.</w:t>
      </w:r>
    </w:p>
    <w:p>
      <w:pPr>
        <w:spacing w:after="120"/>
      </w:pPr>
      <w:r>
        <w:t>This paper introduces a novel quantitative framework for studying electoral accountability. TATSUKI formalizes the informal retrospective voting mechanism into an institutional design in which candidates’ pre-declared policy pledges are systematically evaluated post-term, yielding a continuous trust coefficient that modulates effective electoral support. Using an agent-based model (ABM) compliant with the ODD protocol, we simulate multi-generational electoral dynamics under this mechanism, examining equilibrium outcomes, evolutionary candidate-type selection, and adversarial robustness.</w:t>
      </w:r>
    </w:p>
    <w:p>
      <w:pPr>
        <w:spacing w:after="120"/>
      </w:pPr>
      <w:r>
        <w:t>We believe this paper addresses a timely gap in the literature. A fundamental structural limitation of contemporary representative democracy is that citizens can express their political will only at the moment of voting—typically once every four to five years. Between elections, voters possess no institutional mechanism to ensure that the promises motivating their choice are honored. This temporal mismatch between intermittent democratic feedback and continuous governance is arguably the central structural weakness of modern representative democracy, and existing reform proposals do not fully resolve it: quadratic voting enriches preference expression at election time but provides no post-election accountability; liquid democracy enables continuous re-delegation but does not evaluate whether delegated decisions align with voters’ preferences; futarchy operates continuously via prediction markets but replaces democratic decision-making with market-based selection.</w:t>
      </w:r>
    </w:p>
    <w:p>
      <w:pPr>
        <w:spacing w:after="120"/>
      </w:pPr>
      <w:r>
        <w:t>Three converging trends now make it possible to address this gap. First, public trust in democratic institutions has declined to historic lows across established democracies (OECD, 2022; Edelman Trust Barometer, 2024), creating urgent demand for institutional mechanisms that demonstrably link electoral promises to consequences. Second, the empirical infrastructure for systematic pledge tracking has matured: the Polimeter project now covers multiple countries and parliamentary terms, and the Comparative Party Pledges Database (Thomson et al., 2017) spans 20,000+ pledges across 12 countries—making an accountability mechanism grounded in measured fulfillment technically feasible at scale for the first time. Third, computational social science methods—particularly agent-based modeling and adversarial testing—now provide the tools to evaluate institutional reforms before deployment, a capacity that was unavailable when classical accountability models were formulated.</w:t>
      </w:r>
    </w:p>
    <w:p>
      <w:pPr>
        <w:spacing w:after="120"/>
      </w:pPr>
      <w:r>
        <w:t>The manuscript positions TATSUKI explicitly within this landscape. A structured comparison (Table 1 in the manuscript) shows that existing proposals—quadratic voting, liquid democracy, futarchy, and computational democratic mechanism design—address different democratic deficits but none institutionalizes the retrospective accountability relationship between pre-election pledges and post-election performance, and none transforms the voter’s one-time electoral choice into a continuous institutional commitment. TATSUKI is designed to fill precisely this gap, and is the only proposal that combines OPOV-compatible design, empirical calibration with large-scale pledge data, and adversarial robustness testing.</w:t>
      </w:r>
    </w:p>
    <w:p>
      <w:pPr>
        <w:spacing w:after="120"/>
      </w:pPr>
      <w:r>
        <w:t>We believe this work is particularly well-suited for Social Science Research for three reasons. First, the paper demonstrates a quantitative method—agent-based simulation with genetic algorithm adversarial testing—that cuts across political science, economics, and computational social science, directly aligning with SSR’s cross-disciplinary mission. Second, the ABM is calibrated with two large-scale empirical datasets: the Polimeter pledge-tracking project (1,050 coded promises, three Canadian parliamentary terms, 2015–2025) and the Comparative Party Pledges Database (Thomson et al., 2017; 20,000+ pledges, 12 countries, 57 elections). This grounds the simulation in observable political behavior and enables counterfactual analysis using real-world data. Third, the methodology—combining mechanism design, evolutionary ABM, and adversarial analysis—provides a reusable quantitative toolkit that researchers can adapt to evaluate other institutional reform proposals.</w:t>
      </w:r>
    </w:p>
    <w:p>
      <w:pPr>
        <w:spacing w:after="120"/>
      </w:pPr>
      <w:r>
        <w:t>Key contributions include: (i) a formal specification of the TATSUKI mechanism with a family of influence functions; (ii) an ODD-protocol compliant ABM demonstrating TATSUKI’s effects on accountability and candidate-type evolution; (iii) adversarial robustness analysis using genetic algorithm search; (iv) empirical calibration with counterfactual trust trajectory analysis for a real-world minority government; and (v) a systematic comparative analysis positioning TATSUKI within the broader landscape of electoral reform proposals.</w:t>
      </w:r>
    </w:p>
    <w:p>
      <w:pPr>
        <w:spacing w:after="120"/>
      </w:pPr>
      <w:r>
        <w:t>The manuscript has not been published elsewhere and is not under consideration by any other journal. All authors have approved the manuscript and agree with its submission to Social Science Research. The authors declare no competing interests.</w:t>
      </w:r>
    </w:p>
    <w:p>
      <w:pPr>
        <w:spacing w:after="120"/>
      </w:pPr>
      <w:r>
        <w:t>We confirm that this submission complies with the journal’s double-anonymized review policy: the manuscript contains no author-identifying information. Author details are provided in the separate title page.</w:t>
      </w:r>
    </w:p>
    <w:p>
      <w:pPr>
        <w:spacing w:after="120"/>
      </w:pPr>
      <w:r>
        <w:t>Thank you for considering our submission. We look forward to receiving your decision.</w:t>
      </w:r>
    </w:p>
    <w:p/>
    <w:p>
      <w:pPr>
        <w:spacing w:after="0"/>
      </w:pPr>
      <w:r>
        <w:t>Sincerely,</w:t>
      </w:r>
    </w:p>
    <w:p>
      <w:pPr>
        <w:spacing w:after="0"/>
      </w:pPr>
    </w:p>
    <w:p>
      <w:pPr>
        <w:spacing w:after="0"/>
      </w:pPr>
      <w:r>
        <w:t>[Corresponding Author Name]</w:t>
      </w:r>
    </w:p>
    <w:p>
      <w:pPr>
        <w:spacing w:after="0"/>
      </w:pPr>
      <w:r>
        <w:t>[Affiliation]</w:t>
      </w:r>
    </w:p>
    <w:p>
      <w:pPr>
        <w:spacing w:after="0"/>
      </w:pPr>
      <w:r>
        <w:t>[Email Address]</w:t>
      </w:r>
    </w:p>
    <w:p>
      <w:pPr>
        <w:spacing w:after="0"/>
      </w:pPr>
      <w: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