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May 05, 2026</w:t>
      </w:r>
    </w:p>
    <w:p>
      <w:pPr>
        <w:spacing w:after="0"/>
      </w:pPr>
      <w:r>
        <w:t>The Editor</w:t>
      </w:r>
    </w:p>
    <w:p>
      <w:pPr>
        <w:spacing w:after="0"/>
      </w:pPr>
      <w:r>
        <w:t>Journal of Computational Social Science</w:t>
      </w:r>
    </w:p>
    <w:p>
      <w:pPr>
        <w:spacing w:after="0"/>
      </w:pPr>
      <w:r>
        <w:t>Springer</w:t>
      </w:r>
    </w:p>
    <w:p/>
    <w:p>
      <w:pPr>
        <w:spacing w:after="240"/>
      </w:pPr>
      <w:r>
        <w:t>Dear Editor,</w:t>
      </w:r>
    </w:p>
    <w:p>
      <w:pPr>
        <w:spacing w:after="120"/>
      </w:pPr>
      <w:r>
        <w:t>We are pleased to submit our manuscript entitled "Trust-Adjusted Transparent Scoring with Unified Knowledge Integration (TATSUKI): An Agent-Based Computational Model of Accountability-Driven Electoral Reform with Empirical Calibration" for consideration for publication in the Journal of Computational Social Science.</w:t>
      </w:r>
    </w:p>
    <w:p>
      <w:pPr>
        <w:spacing w:after="120"/>
      </w:pPr>
      <w:r>
        <w:t>This paper makes a contribution to computational social science by introducing TATSUKI, a novel electoral mechanism, and analyzing its properties through agent-based modeling and genetic algorithm-based adversarial analysis. The computational contributions include: (i) an ODD-protocol compliant agent-based model simulating multi-generational electoral dynamics with heterogeneous candidate types; (ii) systematic parameter space exploration across a family of influence functions; (iii) adversarial robustness testing using genetic algorithm search to discover exploitation strategies; and (iv) empirical calibration using real-world pledge fulfillment data from the Polimeter project (1,050 promises across three Canadian parliamentary terms) and the Thomson et al. cross-national database (20,000+ pledges, 12 countries).</w:t>
      </w:r>
    </w:p>
    <w:p>
      <w:pPr>
        <w:spacing w:after="120"/>
      </w:pPr>
      <w:r>
        <w:t>We believe this work aligns well with JCSS’s scope and evaluation criteria. The paper presents new empirical results derived from computational simulations, introduces a novel theoretical and methodological framework for computational analysis of electoral systems, and contributes reusable simulation software. The agent-based model produces emergent dynamics—including evolutionary selection pressure favoring sincere candidates and robustness patterns across influence function families—that would be difficult to derive analytically, demonstrating the value of computational approaches to social science questions.</w:t>
      </w:r>
    </w:p>
    <w:p>
      <w:pPr>
        <w:spacing w:after="120"/>
      </w:pPr>
      <w:r>
        <w:t>The counterfactual analysis applying TATSUKI retrospectively to empirical Canadian data demonstrates that computational models can generate interpretable, policy-relevant insights when calibrated with real-world data.</w:t>
      </w:r>
    </w:p>
    <w:p>
      <w:pPr>
        <w:spacing w:after="120"/>
      </w:pPr>
      <w:r>
        <w:t>The manuscript has not been published elsewhere and is not under consideration by any other journal. All authors have approved the manuscript. The authors declare no competing interests.</w:t>
      </w:r>
    </w:p>
    <w:p>
      <w:pPr>
        <w:spacing w:after="120"/>
      </w:pPr>
      <w:r>
        <w:t>The simulation code and calibration scripts will be made available in a public repository upon acceptance.</w:t>
      </w:r>
    </w:p>
    <w:p>
      <w:pPr>
        <w:spacing w:after="120"/>
      </w:pPr>
      <w:r>
        <w:t>Thank you for considering our submission. We look forward to receiving your decision.</w:t>
      </w:r>
    </w:p>
    <w:p/>
    <w:p>
      <w:pPr>
        <w:spacing w:after="0"/>
      </w:pPr>
      <w:r>
        <w:t>Sincerely,</w:t>
      </w:r>
    </w:p>
    <w:p>
      <w:pPr>
        <w:spacing w:after="0"/>
      </w:pPr>
    </w:p>
    <w:p>
      <w:pPr>
        <w:spacing w:after="0"/>
      </w:pPr>
      <w:r>
        <w:t>[Corresponding Author Name]</w:t>
      </w:r>
    </w:p>
    <w:p>
      <w:pPr>
        <w:spacing w:after="0"/>
      </w:pPr>
      <w:r>
        <w:t>[Affiliation]</w:t>
      </w:r>
    </w:p>
    <w:p>
      <w:pPr>
        <w:spacing w:after="0"/>
      </w:pPr>
      <w:r>
        <w:t>[Email Address]</w:t>
      </w:r>
    </w:p>
    <w:p>
      <w:pPr>
        <w:spacing w:after="0"/>
      </w:pPr>
      <w:r>
        <w:t>[ORCID]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