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  <w:r>
        <w:t>May 05, 2026</w:t>
      </w:r>
    </w:p>
    <w:p>
      <w:pPr>
        <w:spacing w:after="0"/>
      </w:pPr>
      <w:r>
        <w:t>The Editor</w:t>
      </w:r>
    </w:p>
    <w:p>
      <w:pPr>
        <w:spacing w:after="0"/>
      </w:pPr>
      <w:r>
        <w:t>Social Sciences &amp; Humanities Open</w:t>
      </w:r>
    </w:p>
    <w:p>
      <w:pPr>
        <w:spacing w:after="0"/>
      </w:pPr>
      <w:r>
        <w:t>Elsevier</w:t>
      </w:r>
    </w:p>
    <w:p/>
    <w:p>
      <w:pPr>
        <w:spacing w:after="240"/>
      </w:pPr>
      <w:r>
        <w:t>Dear Editor,</w:t>
      </w:r>
    </w:p>
    <w:p>
      <w:pPr>
        <w:spacing w:after="120"/>
      </w:pPr>
      <w:r>
        <w:t>We are pleased to submit our manuscript entitled "Trust-Adjusted Transparent Scoring with Unified Knowledge Integration (TATSUKI): An Agent-Based Computational Model of Accountability-Driven Electoral Reform with Empirical Calibration" for consideration for publication in Social Sciences &amp; Humanities Open.</w:t>
      </w:r>
    </w:p>
    <w:p>
      <w:pPr>
        <w:spacing w:after="120"/>
      </w:pPr>
      <w:r>
        <w:t>This paper introduces TATSUKI, a novel electoral mechanism bridging political science, computational social science, and mechanism design. Candidates pre-declare weighted policy pledges, an independent body evaluates fulfillment at term end, and the resulting accountability score modulates a candidate-level trust coefficient that influences subsequent elections. Using an ODD-compliant agent-based model calibrated with empirical pledge fulfillment data (Polimeter project, 1,050 promises; Thomson et al., 20,000+ cross-national pledges), we demonstrate that TATSUKI significantly improves accountability and selects for sincere candidates.</w:t>
      </w:r>
    </w:p>
    <w:p>
      <w:pPr>
        <w:spacing w:after="120"/>
      </w:pPr>
      <w:r>
        <w:t>We believe this work is particularly well-suited for Social Sciences &amp; Humanities Open for three reasons. First, the paper is genuinely interdisciplinary, integrating computational modeling, political science theory, mechanism design, and empirical data analysis—exactly the kind of cross-disciplinary work that SSH Open welcomes. Second, the methodology combines agent-based simulation with real-world calibration and counterfactual analysis, demonstrating methodological innovation. Third, the topic addresses fundamental questions about democratic governance that span the social sciences and humanities.</w:t>
      </w:r>
    </w:p>
    <w:p>
      <w:pPr>
        <w:spacing w:after="120"/>
      </w:pPr>
      <w:r>
        <w:t>The manuscript has not been published elsewhere and is not under consideration by any other journal. All authors have approved the manuscript. The authors declare no competing interests.</w:t>
      </w:r>
    </w:p>
    <w:p>
      <w:pPr>
        <w:spacing w:after="120"/>
      </w:pPr>
      <w:r>
        <w:t>We confirm compliance with the journal’s double-blind review policy.</w:t>
      </w:r>
    </w:p>
    <w:p>
      <w:pPr>
        <w:spacing w:after="120"/>
      </w:pPr>
      <w:r>
        <w:t>Thank you for considering our submission.</w:t>
      </w:r>
    </w:p>
    <w:p/>
    <w:p>
      <w:pPr>
        <w:spacing w:after="0"/>
      </w:pPr>
      <w:r>
        <w:t>Sincerely,</w:t>
      </w:r>
    </w:p>
    <w:p>
      <w:pPr>
        <w:spacing w:after="0"/>
      </w:pPr>
    </w:p>
    <w:p>
      <w:pPr>
        <w:spacing w:after="0"/>
      </w:pPr>
      <w:r>
        <w:t>[Corresponding Author Name]</w:t>
      </w:r>
    </w:p>
    <w:p>
      <w:pPr>
        <w:spacing w:after="0"/>
      </w:pPr>
      <w:r>
        <w:t>[Affiliation]</w:t>
      </w:r>
    </w:p>
    <w:p>
      <w:pPr>
        <w:spacing w:after="0"/>
      </w:pPr>
      <w:r>
        <w:t>[Email Address]</w:t>
      </w:r>
    </w:p>
    <w:p>
      <w:pPr>
        <w:spacing w:after="0"/>
      </w:pPr>
      <w:r>
        <w:t>[ORCID]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