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May 05, 2026</w:t>
      </w:r>
    </w:p>
    <w:p>
      <w:pPr>
        <w:spacing w:after="0"/>
      </w:pPr>
      <w:r>
        <w:t>The Editor</w:t>
      </w:r>
    </w:p>
    <w:p>
      <w:pPr>
        <w:spacing w:after="0"/>
      </w:pPr>
      <w:r>
        <w:t>Social Science Research</w:t>
      </w:r>
    </w:p>
    <w:p>
      <w:pPr>
        <w:spacing w:after="0"/>
      </w:pPr>
      <w:r>
        <w:t>Elsevier</w:t>
      </w:r>
    </w:p>
    <w:p/>
    <w:p>
      <w:pPr>
        <w:spacing w:after="240"/>
      </w:pPr>
      <w:r>
        <w:t>Dear Editor,</w:t>
      </w:r>
    </w:p>
    <w:p>
      <w:pPr>
        <w:spacing w:after="120"/>
      </w:pPr>
      <w:r>
        <w:t>We are pleased to submit our manuscript entitled "Trust-Adjusted Transparent Scoring with Unified Knowledge Integration (TATSUKI): An Agent-Based Computational Model of Accountability-Driven Electoral Reform with Empirical Calibration" for consideration for publication in Social Science Research.</w:t>
      </w:r>
    </w:p>
    <w:p>
      <w:pPr>
        <w:spacing w:after="120"/>
      </w:pPr>
      <w:r>
        <w:t>This paper introduces TATSUKI, a novel electoral mechanism that links candidate trust coefficients to measured policy fulfillment through influence functions, creating continuous accountability incentives within representative democracy. Using an agent-based model compliant with the ODD protocol, we simulate multi-generational electoral dynamics and demonstrate that TATSUKI raises accountability levels, selects for sincere candidates, and exhibits robustness to adversarial exploitation discovered via genetic algorithm search.</w:t>
      </w:r>
    </w:p>
    <w:p>
      <w:pPr>
        <w:spacing w:after="120"/>
      </w:pPr>
      <w:r>
        <w:t>We believe this work is well-suited for Social Science Research for three reasons. First, the paper combines formal theoretical modeling with empirical calibration using real-world data—the Polimeter project (1,050 coded promises from the Trudeau government across three Canadian parliamentary terms, 2015–2025) and cross-national benchmarks from Thomson et al. (2017; 20,000+ pledges across 12 countries). This integration of computational methods with empirical social science data aligns with SSR’s emphasis on rigorous quantitative social science research. Second, the counterfactual analysis applying TATSUKI to real-world data demonstrates the mechanism’s empirical plausibility. Third, the topic of electoral accountability and institutional design is of broad interest to SSR’s interdisciplinary readership.</w:t>
      </w:r>
    </w:p>
    <w:p>
      <w:pPr>
        <w:spacing w:after="120"/>
      </w:pPr>
      <w:r>
        <w:t>Key contributions include: (i) a formal specification of the TATSUKI mechanism with a family of influence functions; (ii) an ODD-compliant agent-based model demonstrating effects on accountability, candidate-type evolution, and voter welfare; (iii) adversarial robustness analysis using genetic algorithms; and (iv) empirical calibration with counterfactual trust trajectory analysis.</w:t>
      </w:r>
    </w:p>
    <w:p>
      <w:pPr>
        <w:spacing w:after="120"/>
      </w:pPr>
      <w:r>
        <w:t>The manuscript has not been published elsewhere and is not under consideration by any other journal. All authors have approved the manuscript and agree with its submission to Social Science Research. The authors declare no competing interests.</w:t>
      </w:r>
    </w:p>
    <w:p>
      <w:pPr>
        <w:spacing w:after="120"/>
      </w:pPr>
      <w:r>
        <w:t>We confirm that this submission complies with the journal’s double-blind review policy: the manuscript contains no author-identifying information.</w:t>
      </w:r>
    </w:p>
    <w:p>
      <w:pPr>
        <w:spacing w:after="120"/>
      </w:pPr>
      <w:r>
        <w:t>Thank you for considering our submission. We look forward to receiving your decision.</w:t>
      </w:r>
    </w:p>
    <w:p/>
    <w:p>
      <w:pPr>
        <w:spacing w:after="0"/>
      </w:pPr>
      <w:r>
        <w:t>Sincerely,</w:t>
      </w:r>
    </w:p>
    <w:p>
      <w:pPr>
        <w:spacing w:after="0"/>
      </w:pPr>
    </w:p>
    <w:p>
      <w:pPr>
        <w:spacing w:after="0"/>
      </w:pPr>
      <w:r>
        <w:t>[Corresponding Author Name]</w:t>
      </w:r>
    </w:p>
    <w:p>
      <w:pPr>
        <w:spacing w:after="0"/>
      </w:pPr>
      <w:r>
        <w:t>[Affiliation]</w:t>
      </w:r>
    </w:p>
    <w:p>
      <w:pPr>
        <w:spacing w:after="0"/>
      </w:pPr>
      <w:r>
        <w:t>[Email Address]</w:t>
      </w:r>
    </w:p>
    <w:p>
      <w:pPr>
        <w:spacing w:after="0"/>
      </w:pPr>
      <w: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