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ODD Protocol Reporting Checklist for TATSUKI Paper</w:t>
      </w:r>
    </w:p>
    <w:p>
      <w:r>
        <w:rPr>
          <w:b/>
          <w:sz w:val="20"/>
        </w:rPr>
        <w:t xml:space="preserve">Guideline: </w:t>
      </w:r>
      <w:r>
        <w:rPr>
          <w:sz w:val="20"/>
        </w:rPr>
        <w:t>ODD (Overview, Design concepts, Details) Protocol, Version 2020</w:t>
      </w:r>
    </w:p>
    <w:p>
      <w:r>
        <w:rPr>
          <w:b/>
          <w:sz w:val="20"/>
        </w:rPr>
        <w:t xml:space="preserve">Reference: </w:t>
      </w:r>
      <w:r>
        <w:rPr>
          <w:i/>
          <w:sz w:val="20"/>
        </w:rPr>
        <w:t>Grimm, V. et al. (2020) "The ODD Protocol for Describing Agent-Based and Other Simulation Models: A Second Update to Improve Clarity, Replication, and Structural Realism." Journal of Artificial Societies and Social Simulation, 23(2), 7. https://doi.org/10.18564/jasss.4259</w:t>
      </w:r>
    </w:p>
    <w:p>
      <w:r>
        <w:rPr>
          <w:b/>
          <w:sz w:val="20"/>
        </w:rPr>
        <w:t xml:space="preserve">Note: </w:t>
      </w:r>
      <w:r>
        <w:rPr>
          <w:sz w:val="20"/>
        </w:rPr>
        <w:t>JCSS does not mandate a specific reporting checklist for ABM papers, but the ODD protocol is the de facto standard for describing agent-based models. This checklist follows the ODD 2020 version (Grimm et al., 2020) and is applied to the TATSUKI manuscript.</w:t>
      </w:r>
    </w:p>
    <w:p>
      <w:pPr>
        <w:pStyle w:val="Heading1"/>
      </w:pPr>
      <w:r>
        <w:t>Element 1: Purpose and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320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80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Manuscript Section</w:t>
            </w:r>
          </w:p>
        </w:tc>
        <w:tc>
          <w:tcPr>
            <w:tcW w:type="dxa" w:w="864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sz w:val="18"/>
              </w:rPr>
              <w:t>Purpose of the model clearly stated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sz w:val="18"/>
              </w:rPr>
              <w:t>Sect. 4.1</w:t>
            </w:r>
          </w:p>
        </w:tc>
        <w:tc>
          <w:tcPr>
            <w:tcW w:type="dxa" w:w="864"/>
            <w:shd w:fill="F2F7FB" w:val="clear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Key questions or hypotheses the model addresses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Sect. 4.1 (i)-(iv)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sz w:val="18"/>
              </w:rPr>
              <w:t>1.3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sz w:val="18"/>
              </w:rPr>
              <w:t>Patterns used as criteria for evaluating model’s purpose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sz w:val="18"/>
              </w:rPr>
              <w:t>Sect. 4.1 ("gradual accountability improvement")</w:t>
            </w:r>
          </w:p>
        </w:tc>
        <w:tc>
          <w:tcPr>
            <w:tcW w:type="dxa" w:w="864"/>
            <w:shd w:fill="F2F7FB" w:val="clear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Rationale for why ABM is appropriate methodology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Sect. 1 (Introduction) + Sect. 6.2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</w:tbl>
    <w:p>
      <w:pPr>
        <w:pStyle w:val="Heading1"/>
      </w:pPr>
      <w:r>
        <w:t>Element 2: Entities, State Variables, and Scales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320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80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Manuscript Section</w:t>
            </w:r>
          </w:p>
        </w:tc>
        <w:tc>
          <w:tcPr>
            <w:tcW w:type="dxa" w:w="864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sz w:val="18"/>
              </w:rPr>
              <w:t>2.1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sz w:val="18"/>
              </w:rPr>
              <w:t>All entity types listed (agents, spatial units, environment, etc.)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sz w:val="18"/>
              </w:rPr>
              <w:t>Sect. 4.2</w:t>
            </w:r>
          </w:p>
        </w:tc>
        <w:tc>
          <w:tcPr>
            <w:tcW w:type="dxa" w:w="864"/>
            <w:shd w:fill="F2F7FB" w:val="clear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2.2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State variables for each entity type described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Sect. 4.2 (candidates: type, pledge portfolio, accountability score, trust coefficient; voters: preferences, location)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sz w:val="18"/>
              </w:rPr>
              <w:t>2.3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sz w:val="18"/>
              </w:rPr>
              <w:t>Temporal scales (time step, simulation duration)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sz w:val="18"/>
              </w:rPr>
              <w:t>Sect. 4.2 (30 electoral cycles)</w:t>
            </w:r>
          </w:p>
        </w:tc>
        <w:tc>
          <w:tcPr>
            <w:tcW w:type="dxa" w:w="864"/>
            <w:shd w:fill="F2F7FB" w:val="clear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2.4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Spatial scales (if applicable)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N/A (non-spatial model)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sz w:val="18"/>
              </w:rPr>
              <w:t>2.5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sz w:val="18"/>
              </w:rPr>
              <w:t>Units of state variables specified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sz w:val="18"/>
              </w:rPr>
              <w:t>Sect. 4.2 + Sect. 3.4</w:t>
            </w:r>
          </w:p>
        </w:tc>
        <w:tc>
          <w:tcPr>
            <w:tcW w:type="dxa" w:w="864"/>
            <w:shd w:fill="F2F7FB" w:val="clear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</w:tbl>
    <w:p>
      <w:pPr>
        <w:pStyle w:val="Heading1"/>
      </w:pPr>
      <w:r>
        <w:t>Element 3: Process Overview and Scheduling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320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80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Manuscript Section</w:t>
            </w:r>
          </w:p>
        </w:tc>
        <w:tc>
          <w:tcPr>
            <w:tcW w:type="dxa" w:w="864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sz w:val="18"/>
              </w:rPr>
              <w:t>3.1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sz w:val="18"/>
              </w:rPr>
              <w:t>All processes (actions) listed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sz w:val="18"/>
              </w:rPr>
              <w:t>Sect. 4.3 (6-phase cycle)</w:t>
            </w:r>
          </w:p>
        </w:tc>
        <w:tc>
          <w:tcPr>
            <w:tcW w:type="dxa" w:w="864"/>
            <w:shd w:fill="F2F7FB" w:val="clear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3.2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Order of execution specified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Sect. 4.3 (pledge declaration → election → term → evaluation → scoring → trust update)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sz w:val="18"/>
              </w:rPr>
              <w:t>3.3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sz w:val="18"/>
              </w:rPr>
              <w:t>Scheduling (synchronous vs. asynchronous) described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sz w:val="18"/>
              </w:rPr>
              <w:t>Sect. 4.3</w:t>
            </w:r>
          </w:p>
        </w:tc>
        <w:tc>
          <w:tcPr>
            <w:tcW w:type="dxa" w:w="864"/>
            <w:shd w:fill="F2F7FB" w:val="clear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</w:tbl>
    <w:p>
      <w:pPr>
        <w:pStyle w:val="Heading1"/>
      </w:pPr>
      <w:r>
        <w:t>Element 4: Design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320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80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Manuscript Section</w:t>
            </w:r>
          </w:p>
        </w:tc>
        <w:tc>
          <w:tcPr>
            <w:tcW w:type="dxa" w:w="864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sz w:val="18"/>
              </w:rPr>
              <w:t>4.1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sz w:val="18"/>
              </w:rPr>
              <w:t>Basic principles: Underlying theories or hypotheses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sz w:val="18"/>
              </w:rPr>
              <w:t>Sect. 3 (TATSUKI Model) + Sect. 2.1 (retrospective voting)</w:t>
            </w:r>
          </w:p>
        </w:tc>
        <w:tc>
          <w:tcPr>
            <w:tcW w:type="dxa" w:w="864"/>
            <w:shd w:fill="F2F7FB" w:val="clear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4.2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Emergence: Which model results emerge vs. are imposed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Sect. 4.4 (accountability improvement, candidate type evolution are emergent)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sz w:val="18"/>
              </w:rPr>
              <w:t>4.3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sz w:val="18"/>
              </w:rPr>
              <w:t>Adaptation: How agents change behavior in response to environment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sz w:val="18"/>
              </w:rPr>
              <w:t>Sect. 4.4 (strategic candidates adapt pledges; evolutionary selection of types)</w:t>
            </w:r>
          </w:p>
        </w:tc>
        <w:tc>
          <w:tcPr>
            <w:tcW w:type="dxa" w:w="864"/>
            <w:shd w:fill="F2F7FB" w:val="clear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4.4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Objectives: If agents have objectives, what are they and how measured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Sect. 4.4 (candidates: maximize re-election probability; voters: maximize welfare)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sz w:val="18"/>
              </w:rPr>
              <w:t>4.5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sz w:val="18"/>
              </w:rPr>
              <w:t>Learning: Whether and how agents learn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sz w:val="18"/>
              </w:rPr>
              <w:t>Sect. 4.4</w:t>
            </w:r>
          </w:p>
        </w:tc>
        <w:tc>
          <w:tcPr>
            <w:tcW w:type="dxa" w:w="864"/>
            <w:shd w:fill="F2F7FB" w:val="clear"/>
          </w:tcPr>
          <w:p>
            <w:pPr>
              <w:jc w:val="center"/>
            </w:pPr>
            <w:r/>
            <w:r>
              <w:rPr>
                <w:b/>
                <w:color w:val="CC0000"/>
                <w:sz w:val="20"/>
              </w:rPr>
              <w:t>✗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4.6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Prediction: How agents predict future conditions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Sect. 4.4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color w:val="CC0000"/>
                <w:sz w:val="20"/>
              </w:rPr>
              <w:t>✗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sz w:val="18"/>
              </w:rPr>
              <w:t>4.7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sz w:val="18"/>
              </w:rPr>
              <w:t>Sensing: What information agents have access to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sz w:val="18"/>
              </w:rPr>
              <w:t>Sect. 4.4 (voters observe trust coefficients; candidates observe election outcomes)</w:t>
            </w:r>
          </w:p>
        </w:tc>
        <w:tc>
          <w:tcPr>
            <w:tcW w:type="dxa" w:w="864"/>
            <w:shd w:fill="F2F7FB" w:val="clear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4.8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Interaction: How agents interact (direct/indirect)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Sect. 4.4 (indirect via elections; trust coefficients as public information)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sz w:val="18"/>
              </w:rPr>
              <w:t>4.9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sz w:val="18"/>
              </w:rPr>
              <w:t>Stochasticity: Role of randomness in the model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sz w:val="18"/>
              </w:rPr>
              <w:t>Sect. 4.4 (fulfillment scores drawn from Beta distributions; voter noise)</w:t>
            </w:r>
          </w:p>
        </w:tc>
        <w:tc>
          <w:tcPr>
            <w:tcW w:type="dxa" w:w="864"/>
            <w:shd w:fill="F2F7FB" w:val="clear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4.10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Collectives: Whether agents form groups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Sect. 4.4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color w:val="CC0000"/>
                <w:sz w:val="20"/>
              </w:rPr>
              <w:t>✗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sz w:val="18"/>
              </w:rPr>
              <w:t>4.11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sz w:val="18"/>
              </w:rPr>
              <w:t>Observation: How data are collected from the ABM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sz w:val="18"/>
              </w:rPr>
              <w:t>Sect. 4.4 + Sect. 5.1 (50 replications, random seeds)</w:t>
            </w:r>
          </w:p>
        </w:tc>
        <w:tc>
          <w:tcPr>
            <w:tcW w:type="dxa" w:w="864"/>
            <w:shd w:fill="F2F7FB" w:val="clear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</w:tbl>
    <w:p>
      <w:pPr>
        <w:pStyle w:val="Heading1"/>
      </w:pPr>
      <w:r>
        <w:t>Element 5: Initialization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320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80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Manuscript Section</w:t>
            </w:r>
          </w:p>
        </w:tc>
        <w:tc>
          <w:tcPr>
            <w:tcW w:type="dxa" w:w="864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sz w:val="18"/>
              </w:rPr>
              <w:t>5.1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sz w:val="18"/>
              </w:rPr>
              <w:t>Initial conditions described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sz w:val="18"/>
              </w:rPr>
              <w:t>Sect. 4.5</w:t>
            </w:r>
          </w:p>
        </w:tc>
        <w:tc>
          <w:tcPr>
            <w:tcW w:type="dxa" w:w="864"/>
            <w:shd w:fill="F2F7FB" w:val="clear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5.2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Initial values of state variables specified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Sect. 4.5 (equal proportions of 3 candidate types; τ₀ = 1.0)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sz w:val="18"/>
              </w:rPr>
              <w:t>5.3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sz w:val="18"/>
              </w:rPr>
              <w:t>Rationale for initial conditions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sz w:val="18"/>
              </w:rPr>
              <w:t>Sect. 4.5</w:t>
            </w:r>
          </w:p>
        </w:tc>
        <w:tc>
          <w:tcPr>
            <w:tcW w:type="dxa" w:w="864"/>
            <w:shd w:fill="F2F7FB" w:val="clear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</w:tbl>
    <w:p>
      <w:pPr>
        <w:pStyle w:val="Heading1"/>
      </w:pPr>
      <w:r>
        <w:t>Element 6: Input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320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80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Manuscript Section</w:t>
            </w:r>
          </w:p>
        </w:tc>
        <w:tc>
          <w:tcPr>
            <w:tcW w:type="dxa" w:w="864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sz w:val="18"/>
              </w:rPr>
              <w:t>6.1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sz w:val="18"/>
              </w:rPr>
              <w:t>External data used as input described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sz w:val="18"/>
              </w:rPr>
              <w:t>Sect. 5.5 (Polimeter data, Thomson et al.)</w:t>
            </w:r>
          </w:p>
        </w:tc>
        <w:tc>
          <w:tcPr>
            <w:tcW w:type="dxa" w:w="864"/>
            <w:shd w:fill="F2F7FB" w:val="clear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6.2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Source and accessibility of input data stated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Sect. 5.5.1 + Data Availability Statement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</w:tbl>
    <w:p>
      <w:pPr>
        <w:pStyle w:val="Heading1"/>
      </w:pPr>
      <w:r>
        <w:t>Element 7: Submodels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320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880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Manuscript Section</w:t>
            </w:r>
          </w:p>
        </w:tc>
        <w:tc>
          <w:tcPr>
            <w:tcW w:type="dxa" w:w="864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sz w:val="18"/>
              </w:rPr>
              <w:t>7.1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sz w:val="18"/>
              </w:rPr>
              <w:t>Each submodel described in detail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sz w:val="18"/>
              </w:rPr>
              <w:t>Sect. 4.6-4.7 + Sect. 3.2-3.7</w:t>
            </w:r>
          </w:p>
        </w:tc>
        <w:tc>
          <w:tcPr>
            <w:tcW w:type="dxa" w:w="864"/>
            <w:shd w:fill="F2F7FB" w:val="clear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7.2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Parameter values and their sources specified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Sect. 4.6 + Sect. 5.5.2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sz w:val="18"/>
              </w:rPr>
              <w:t>7.3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sz w:val="18"/>
              </w:rPr>
              <w:t>Rationale for submodel design choices</w:t>
            </w:r>
          </w:p>
        </w:tc>
        <w:tc>
          <w:tcPr>
            <w:tcW w:type="dxa" w:w="2880"/>
            <w:shd w:fill="F2F7FB" w:val="clear"/>
          </w:tcPr>
          <w:p>
            <w:r/>
            <w:r>
              <w:rPr>
                <w:sz w:val="18"/>
              </w:rPr>
              <w:t>Throughout Sect. 3-4</w:t>
            </w:r>
          </w:p>
        </w:tc>
        <w:tc>
          <w:tcPr>
            <w:tcW w:type="dxa" w:w="864"/>
            <w:shd w:fill="F2F7FB" w:val="clear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</w:tbl>
    <w:p>
      <w:pPr>
        <w:pStyle w:val="Heading1"/>
      </w:pPr>
      <w:r>
        <w:t>Additional JCSS/Springer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320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304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864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sz w:val="18"/>
              </w:rPr>
              <w:t>A.1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sz w:val="18"/>
              </w:rPr>
              <w:t>Abstract: 150-250 words, no undefined abbreviations, no unspecified references</w:t>
            </w:r>
          </w:p>
        </w:tc>
        <w:tc>
          <w:tcPr>
            <w:tcW w:type="dxa" w:w="2304"/>
            <w:shd w:fill="F2F7FB" w:val="clear"/>
          </w:tcPr>
          <w:p>
            <w:r/>
            <w:r>
              <w:rPr>
                <w:sz w:val="18"/>
              </w:rPr>
              <w:t>Abstract (189 words)</w:t>
            </w:r>
          </w:p>
        </w:tc>
        <w:tc>
          <w:tcPr>
            <w:tcW w:type="dxa" w:w="864"/>
            <w:shd w:fill="F2F7FB" w:val="clear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A.2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Keywords: 4-6 items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Keywords (6 items)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sz w:val="18"/>
              </w:rPr>
              <w:t>A.3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sz w:val="18"/>
              </w:rPr>
              <w:t>Decimal headings (max 3 levels)</w:t>
            </w:r>
          </w:p>
        </w:tc>
        <w:tc>
          <w:tcPr>
            <w:tcW w:type="dxa" w:w="2304"/>
            <w:shd w:fill="F2F7FB" w:val="clear"/>
          </w:tcPr>
          <w:p>
            <w:r/>
            <w:r>
              <w:rPr>
                <w:sz w:val="18"/>
              </w:rPr>
              <w:t>Throughout</w:t>
            </w:r>
          </w:p>
        </w:tc>
        <w:tc>
          <w:tcPr>
            <w:tcW w:type="dxa" w:w="864"/>
            <w:shd w:fill="F2F7FB" w:val="clear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A.4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All figures cited in text in consecutive order before appearance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Fig. 1-7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sz w:val="18"/>
              </w:rPr>
              <w:t>A.5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sz w:val="18"/>
              </w:rPr>
              <w:t>Figure captions: "Fig. N" in bold, no trailing punctuation</w:t>
            </w:r>
          </w:p>
        </w:tc>
        <w:tc>
          <w:tcPr>
            <w:tcW w:type="dxa" w:w="2304"/>
            <w:shd w:fill="F2F7FB" w:val="clear"/>
          </w:tcPr>
          <w:p>
            <w:r/>
            <w:r>
              <w:rPr>
                <w:sz w:val="18"/>
              </w:rPr>
              <w:t>All captions</w:t>
            </w:r>
          </w:p>
        </w:tc>
        <w:tc>
          <w:tcPr>
            <w:tcW w:type="dxa" w:w="864"/>
            <w:shd w:fill="F2F7FB" w:val="clear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A.6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References: numbered [1]-[30] in order of first appearance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References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sz w:val="18"/>
              </w:rPr>
              <w:t>A.7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sz w:val="18"/>
              </w:rPr>
              <w:t>References: APA format with DOIs as full URLs</w:t>
            </w:r>
          </w:p>
        </w:tc>
        <w:tc>
          <w:tcPr>
            <w:tcW w:type="dxa" w:w="2304"/>
            <w:shd w:fill="F2F7FB" w:val="clear"/>
          </w:tcPr>
          <w:p>
            <w:r/>
            <w:r>
              <w:rPr>
                <w:sz w:val="18"/>
              </w:rPr>
              <w:t>References</w:t>
            </w:r>
          </w:p>
        </w:tc>
        <w:tc>
          <w:tcPr>
            <w:tcW w:type="dxa" w:w="864"/>
            <w:shd w:fill="F2F7FB" w:val="clear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A.8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Statements and Declarations (Competing Interests)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Statements and Declarations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sz w:val="18"/>
              </w:rPr>
              <w:t>A.9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sz w:val="18"/>
              </w:rPr>
              <w:t>Data Availability Statement</w:t>
            </w:r>
          </w:p>
        </w:tc>
        <w:tc>
          <w:tcPr>
            <w:tcW w:type="dxa" w:w="2304"/>
            <w:shd w:fill="F2F7FB" w:val="clear"/>
          </w:tcPr>
          <w:p>
            <w:r/>
            <w:r>
              <w:rPr>
                <w:sz w:val="18"/>
              </w:rPr>
              <w:t>Data Availability Statement</w:t>
            </w:r>
          </w:p>
        </w:tc>
        <w:tc>
          <w:tcPr>
            <w:tcW w:type="dxa" w:w="864"/>
            <w:shd w:fill="F2F7FB" w:val="clear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A.10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Acknowledgments on title page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Title Page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sz w:val="18"/>
              </w:rPr>
              <w:t>A.11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sz w:val="18"/>
              </w:rPr>
              <w:t>Author ORCID and Google Scholar URL</w:t>
            </w:r>
          </w:p>
        </w:tc>
        <w:tc>
          <w:tcPr>
            <w:tcW w:type="dxa" w:w="2304"/>
            <w:shd w:fill="F2F7FB" w:val="clear"/>
          </w:tcPr>
          <w:p>
            <w:r/>
            <w:r>
              <w:rPr>
                <w:sz w:val="18"/>
              </w:rPr>
              <w:t>Title Page + Manuscript</w:t>
            </w:r>
          </w:p>
        </w:tc>
        <w:tc>
          <w:tcPr>
            <w:tcW w:type="dxa" w:w="864"/>
            <w:shd w:fill="F2F7FB" w:val="clear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A.12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Footnotes instead of endnotes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N/A (no footnotes used)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</w:tbl>
    <w:p>
      <w:pPr>
        <w:pStyle w:val="Heading1"/>
      </w:pPr>
      <w:r>
        <w:t>Simulation Experiment Documentation (ODD Supplement S7)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320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304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864"/>
            <w:shd w:fill="2E74B5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sz w:val="18"/>
              </w:rPr>
              <w:t>S.1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sz w:val="18"/>
              </w:rPr>
              <w:t>Experimental design clearly described</w:t>
            </w:r>
          </w:p>
        </w:tc>
        <w:tc>
          <w:tcPr>
            <w:tcW w:type="dxa" w:w="2304"/>
            <w:shd w:fill="F2F7FB" w:val="clear"/>
          </w:tcPr>
          <w:p>
            <w:r/>
            <w:r>
              <w:rPr>
                <w:sz w:val="18"/>
              </w:rPr>
              <w:t>Sect. 5.1</w:t>
            </w:r>
          </w:p>
        </w:tc>
        <w:tc>
          <w:tcPr>
            <w:tcW w:type="dxa" w:w="864"/>
            <w:shd w:fill="F2F7FB" w:val="clear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S.2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Number of replications stated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Sect. 5.1 (50 replications)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sz w:val="18"/>
              </w:rPr>
              <w:t>S.3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sz w:val="18"/>
              </w:rPr>
              <w:t>Random seed handling described</w:t>
            </w:r>
          </w:p>
        </w:tc>
        <w:tc>
          <w:tcPr>
            <w:tcW w:type="dxa" w:w="2304"/>
            <w:shd w:fill="F2F7FB" w:val="clear"/>
          </w:tcPr>
          <w:p>
            <w:r/>
            <w:r>
              <w:rPr>
                <w:sz w:val="18"/>
              </w:rPr>
              <w:t>Sect. 5.1 (different random seeds)</w:t>
            </w:r>
          </w:p>
        </w:tc>
        <w:tc>
          <w:tcPr>
            <w:tcW w:type="dxa" w:w="864"/>
            <w:shd w:fill="F2F7FB" w:val="clear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S.4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Parameter ranges for sensitivity analysis specified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Sect. 5.3 (τ_min, τ_max parameter space)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  <w:tr>
        <w:tc>
          <w:tcPr>
            <w:tcW w:type="dxa" w:w="576"/>
            <w:shd w:fill="F2F7FB" w:val="clear"/>
          </w:tcPr>
          <w:p>
            <w:r/>
            <w:r>
              <w:rPr>
                <w:sz w:val="18"/>
              </w:rPr>
              <w:t>S.5</w:t>
            </w:r>
          </w:p>
        </w:tc>
        <w:tc>
          <w:tcPr>
            <w:tcW w:type="dxa" w:w="4320"/>
            <w:shd w:fill="F2F7FB" w:val="clear"/>
          </w:tcPr>
          <w:p>
            <w:r/>
            <w:r>
              <w:rPr>
                <w:sz w:val="18"/>
              </w:rPr>
              <w:t>Output variables and metrics defined</w:t>
            </w:r>
          </w:p>
        </w:tc>
        <w:tc>
          <w:tcPr>
            <w:tcW w:type="dxa" w:w="2304"/>
            <w:shd w:fill="F2F7FB" w:val="clear"/>
          </w:tcPr>
          <w:p>
            <w:r/>
            <w:r>
              <w:rPr>
                <w:sz w:val="18"/>
              </w:rPr>
              <w:t>Sect. 5.1-5.4</w:t>
            </w:r>
          </w:p>
        </w:tc>
        <w:tc>
          <w:tcPr>
            <w:tcW w:type="dxa" w:w="864"/>
            <w:shd w:fill="F2F7FB" w:val="clear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8"/>
              </w:rPr>
              <w:t>S.6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Validation against empirical data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Sect. 5.5 (Polimeter + Thomson et al.)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color w:val="008000"/>
                <w:sz w:val="20"/>
              </w:rPr>
              <w:t>✓</w:t>
            </w:r>
          </w:p>
        </w:tc>
      </w:tr>
    </w:tbl>
    <w:p>
      <w:pPr>
        <w:pStyle w:val="Heading1"/>
      </w:pPr>
      <w: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/>
            <w:r>
              <w:rPr>
                <w:b/>
                <w:sz w:val="20"/>
              </w:rPr>
              <w:t>Total items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38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b/>
                <w:sz w:val="20"/>
              </w:rPr>
              <w:t>Addressed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35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b/>
                <w:sz w:val="20"/>
              </w:rPr>
              <w:t>Not explicitly addressed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3 (Learning 4.5, Prediction 4.6, Collectives 4.10)</w:t>
            </w:r>
          </w:p>
        </w:tc>
      </w:tr>
      <w:tr>
        <w:tc>
          <w:tcPr>
            <w:tcW w:type="dxa" w:w="8640"/>
            <w:gridSpan w:val="2"/>
          </w:tcPr>
          <w:p>
            <w:r/>
            <w:r>
              <w:rPr>
                <w:b/>
                <w:sz w:val="18"/>
              </w:rPr>
              <w:t xml:space="preserve">Note: </w:t>
            </w:r>
            <w:r>
              <w:rPr>
                <w:i/>
                <w:sz w:val="18"/>
              </w:rPr>
              <w:t>Items 4.5, 4.6, 4.10 are marked as not explicitly addressed. Per ODD guidelines, if a design concept does not apply to the model, the description should state "N/A" or briefly explain why it is not relevant. Consider adding a brief note in Sect. 4.4 to address these.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