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b/>
          <w:sz w:val="28"/>
        </w:rPr>
        <w:t>Trust-Adjusted Transparent Scoring with Unified Knowledge Integration (TATSUKI):</w:t>
        <w:br/>
        <w:t>An Agent-Based Computational Model of Accountability-Driven Electoral Reform</w:t>
        <w:br/>
        <w:t>with Empirical Calibration</w:t>
      </w:r>
    </w:p>
    <w:p>
      <w:pPr>
        <w:spacing w:after="120"/>
        <w:jc w:val="center"/>
      </w:pPr>
      <w:r>
        <w:rPr>
          <w:sz w:val="24"/>
        </w:rPr>
        <w:t>[Author Name]</w:t>
      </w:r>
    </w:p>
    <w:p>
      <w:pPr>
        <w:spacing w:after="120"/>
        <w:jc w:val="center"/>
      </w:pPr>
      <w:r>
        <w:rPr>
          <w:i/>
          <w:sz w:val="22"/>
        </w:rPr>
        <w:t>[Institutional Affiliation, City, Country]</w:t>
      </w:r>
    </w:p>
    <w:p>
      <w:pPr>
        <w:spacing w:after="120"/>
        <w:jc w:val="center"/>
      </w:pPr>
      <w:r>
        <w:rPr>
          <w:sz w:val="22"/>
        </w:rPr>
        <w:t>Email: [email@example.com]</w:t>
      </w:r>
    </w:p>
    <w:p>
      <w:pPr>
        <w:spacing w:after="480"/>
        <w:jc w:val="center"/>
      </w:pPr>
      <w:r>
        <w:rPr>
          <w:sz w:val="22"/>
        </w:rPr>
        <w:t>ORCID: [0000-0000-0000-0000]</w:t>
      </w:r>
    </w:p>
    <w:p>
      <w:pPr>
        <w:spacing w:after="360"/>
      </w:pPr>
      <w:r>
        <w:rPr>
          <w:b/>
        </w:rPr>
        <w:t xml:space="preserve">Corresponding author: </w:t>
      </w:r>
      <w:r>
        <w:t>[Author Name], [email@example.com]</w:t>
      </w:r>
    </w:p>
    <w:p/>
    <w:p>
      <w:pPr>
        <w:spacing w:after="60"/>
      </w:pPr>
      <w:r>
        <w:rPr>
          <w:b/>
        </w:rPr>
        <w:t xml:space="preserve">Word count: </w:t>
      </w:r>
      <w:r>
        <w:t>approximately 9,500 words (excluding references and figure captions)</w:t>
      </w:r>
    </w:p>
    <w:p>
      <w:pPr>
        <w:spacing w:after="60"/>
      </w:pPr>
      <w:r>
        <w:rPr>
          <w:b/>
        </w:rPr>
        <w:t xml:space="preserve">Number of figures: </w:t>
      </w:r>
      <w:r>
        <w:t>7</w:t>
      </w:r>
    </w:p>
    <w:p>
      <w:pPr>
        <w:spacing w:after="360"/>
      </w:pPr>
      <w:r>
        <w:rPr>
          <w:b/>
        </w:rPr>
        <w:t xml:space="preserve">Number of tables: </w:t>
      </w:r>
      <w:r>
        <w:t>0</w:t>
      </w:r>
    </w:p>
    <w:p>
      <w:pPr>
        <w:spacing w:after="120"/>
      </w:pPr>
      <w:r>
        <w:rPr>
          <w:b/>
          <w:sz w:val="26"/>
        </w:rPr>
        <w:t>Acknowledgments</w:t>
      </w:r>
    </w:p>
    <w:p>
      <w:r>
        <w:t>The author gratefully acknowledges the Polimeter project team at Université Laval for making their pledge fulfillment data publicly available, which enabled the empirical calibration component of this study.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