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sz w:val="28"/>
        </w:rPr>
        <w:t>Highlights</w:t>
      </w:r>
    </w:p>
    <w:p>
      <w:pPr>
        <w:pStyle w:val="ListBullet"/>
        <w:spacing w:after="120"/>
      </w:pPr>
      <w:r>
        <w:t>TATSUKI links candidate trust to measured pledge fulfillment scores.</w:t>
      </w:r>
    </w:p>
    <w:p>
      <w:pPr>
        <w:pStyle w:val="ListBullet"/>
        <w:spacing w:after="120"/>
      </w:pPr>
      <w:r>
        <w:t>Agent-based model shows TATSUKI raises accountability, resists gaming.</w:t>
      </w:r>
    </w:p>
    <w:p>
      <w:pPr>
        <w:pStyle w:val="ListBullet"/>
        <w:spacing w:after="120"/>
      </w:pPr>
      <w:r>
        <w:t>Concave and sigmoid influence functions optimally balance incentives.</w:t>
      </w:r>
    </w:p>
    <w:p>
      <w:pPr>
        <w:pStyle w:val="ListBullet"/>
        <w:spacing w:after="120"/>
      </w:pPr>
      <w:r>
        <w:t>Model calibrated with 1,050 real pledges from Polimeter project data.</w:t>
      </w:r>
    </w:p>
    <w:p>
      <w:pPr>
        <w:pStyle w:val="ListBullet"/>
        <w:spacing w:after="120"/>
      </w:pPr>
      <w:r>
        <w:t>Counterfactual analysis confirms stable trust trajectories empirically.</w:t>
      </w:r>
    </w:p>
    <w:p/>
    <w:p>
      <w:r>
        <w:rPr>
          <w:i/>
        </w:rPr>
        <w:t xml:space="preserve">Note: </w:t>
      </w:r>
      <w:r>
        <w:rPr>
          <w:i/>
        </w:rPr>
        <w:t>Each highlight must be no more than 85 characters including spaces. Entered separately during the Editorial Manager submission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