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May 09, 2026</w:t>
      </w:r>
    </w:p>
    <w:p>
      <w:pPr>
        <w:spacing w:after="0"/>
      </w:pPr>
      <w:r>
        <w:t>Prof. Takashi Kamihigashi</w:t>
      </w:r>
    </w:p>
    <w:p>
      <w:pPr>
        <w:spacing w:after="0"/>
      </w:pPr>
      <w:r>
        <w:t>Editor-in-Chief</w:t>
      </w:r>
    </w:p>
    <w:p>
      <w:pPr>
        <w:spacing w:after="0"/>
      </w:pPr>
      <w:r>
        <w:t>Journal of Computational Social Science</w:t>
      </w:r>
    </w:p>
    <w:p>
      <w:pPr>
        <w:spacing w:after="0"/>
      </w:pPr>
      <w:r>
        <w:t>Springer Nature</w:t>
      </w:r>
    </w:p>
    <w:p/>
    <w:p>
      <w:pPr>
        <w:spacing w:after="240"/>
      </w:pPr>
      <w:r>
        <w:t>Dear Prof. Kamihigashi,</w:t>
      </w:r>
    </w:p>
    <w:p>
      <w:pPr>
        <w:spacing w:after="240"/>
      </w:pPr>
      <w:r>
        <w:t>We are pleased to submit our manuscript entitled "Trust-Adjusted Transparent Scoring with Unified Knowledge Integration (TATSUKI): An Agent-Based Computational Model of Accountability-Driven Electoral Reform with Empirical Calibration" for consideration for publication in the Journal of Computational Social Science.</w:t>
      </w:r>
    </w:p>
    <w:p>
      <w:pPr>
        <w:spacing w:after="240"/>
      </w:pPr>
      <w:r>
        <w:t>This paper introduces a novel computational framework for evaluating electoral accountability mechanisms. TATSUKI formalizes the informal retrospective voting mechanism into an institutional design in which candidates’ pre-declared policy pledges are systematically evaluated post-term, yielding a continuous trust coefficient that modulates effective electoral support. Using an agent-based model (ABM) compliant with the ODD protocol, we simulate multi-generational electoral dynamics under this mechanism, examining equilibrium outcomes, evolutionary candidate-type selection, and adversarial robustness via genetic-algorithm search. The model is calibrated against empirical pledge-fulfillment data from two large-scale databases, bridging computational modeling with real-world political data.</w:t>
      </w:r>
    </w:p>
    <w:p>
      <w:pPr>
        <w:spacing w:after="240"/>
      </w:pPr>
      <w:r>
        <w:t>We believe this manuscript is particularly well-suited for JCSS for four reasons. First, the core methodology—agent-based modeling with evolutionary dynamics and adversarial robustness testing via genetic algorithms—represents a distinctly computational approach to institutional design evaluation that aligns with the journal’s interdisciplinary scope. Second, the empirical calibration using large-scale pledge-fulfillment databases (the Polimeter project with 1,050 coded promises and the Thomson et al. Comparative Party Pledges Database with 20,000+ pledges across 12 countries) demonstrates the integration of computational modeling with real-world data that characterizes leading work in computational social science. Third, the paper addresses a fundamental structural problem in democratic governance—the temporal mismatch between intermittent electoral feedback and continuous governance—through a computational lens that invites both theoretical analysis and empirical validation. Fourth, the computational methodology itself—combining ABM, empirical calibration, and algorithmic adversarial testing—offers a replicable template for evaluating institutional design proposals, which we believe will be of broad interest to the JCSS readership.The paper makes six specific contributions: (i) the formal specification of the TATSUKI mechanism and its family of influence functions; (ii) theoretical analysis of incentive compatibility and manipulation resistance; (iii) an ODD-compliant ABM demonstrating evolutionary selection for sincere candidates; (iv) adversarial robustness analysis using genetic algorithms; (v) systematic comparison with existing reform proposals (quadratic voting, liquid democracy, futarchy, Democratic AI); and (vi) empirical calibration and counterfactual analysis using real-world pledge fulfillment data.</w:t>
      </w:r>
    </w:p>
    <w:p>
      <w:pPr>
        <w:spacing w:after="240"/>
      </w:pPr>
      <w:r>
        <w:t>The manuscript has not been published previously and is not under consideration for publication elsewhere. All authors have read and approved the submitted manuscript.</w:t>
      </w:r>
    </w:p>
    <w:p>
      <w:pPr>
        <w:spacing w:after="240"/>
      </w:pPr>
      <w:r>
        <w:t>We look forward to your editorial decision.</w:t>
      </w:r>
    </w:p>
    <w:p>
      <w:pPr>
        <w:spacing w:after="480"/>
      </w:pPr>
      <w:r>
        <w:t>Sincerely,</w:t>
      </w:r>
    </w:p>
    <w:p>
      <w:pPr>
        <w:spacing w:after="0"/>
      </w:pPr>
      <w:r>
        <w:t>[Author Name]</w:t>
      </w:r>
    </w:p>
    <w:p>
      <w:pPr>
        <w:spacing w:after="0"/>
      </w:pPr>
      <w:r>
        <w:t>[Institutional Affiliation]</w:t>
      </w:r>
    </w:p>
    <w:p>
      <w:pPr>
        <w:spacing w:after="0"/>
      </w:pPr>
      <w:r>
        <w:t>[Email Address]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