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w:t>
        <w:br/>
        <w:t>The Lancet</w:t>
        <w:br/>
        <w:t>125 London Wall</w:t>
        <w:br/>
        <w:t>London EC2Y 5AS, United Kingdom</w:t>
      </w:r>
    </w:p>
    <w:p>
      <w:pPr>
        <w:spacing w:after="240"/>
      </w:pPr>
      <w:r>
        <w:rPr>
          <w:b w:val="0"/>
          <w:i w:val="0"/>
          <w:sz w:val="24"/>
        </w:rPr>
        <w:t>Dear Editor,</w:t>
      </w:r>
    </w:p>
    <w:p>
      <w:pPr>
        <w:spacing w:after="240"/>
      </w:pPr>
      <w:r>
        <w:rPr>
          <w:b/>
          <w:i w:val="0"/>
          <w:sz w:val="24"/>
        </w:rPr>
        <w:t>Re: Submission of Correspondence — "The Forgotten Tempo Effect: How Delayed Childbearing Shapes Simultaneously Living Population Size Across OECD Countries"</w:t>
      </w:r>
    </w:p>
    <w:p>
      <w:pPr>
        <w:spacing w:after="160"/>
      </w:pPr>
      <w:r>
        <w:rPr>
          <w:b w:val="0"/>
          <w:i w:val="0"/>
          <w:sz w:val="24"/>
        </w:rPr>
        <w:t>We wish to submit the enclosed Correspondence for consideration in The Lancet. This letter presents a concise, policy-relevant finding: the timing of births (tempo effect) exerts an independent and quantitatively large influence on the number of people simultaneously alive, yet this mechanism is almost entirely absent from current pronatalist policy discourse.</w:t>
      </w:r>
    </w:p>
    <w:p>
      <w:pPr>
        <w:spacing w:after="160"/>
      </w:pPr>
      <w:r>
        <w:rPr>
          <w:b w:val="0"/>
          <w:i w:val="0"/>
          <w:sz w:val="24"/>
        </w:rPr>
        <w:t>Using a parsimonious endogenous renewal model validated against UN World Population Prospects 2024 data for 40 countries (38 OECD members plus China and the DRC) over 1970–2023, we show that a 5-year increase in mean age at childbearing reduces simultaneously living population by approximately one-sixth, independent of total fertility rate. The dynamic model achieves a median absolute percentage error of 4.6% against observed trajectories — demonstrating that this simple demographic identity captures population dynamics with surprising accuracy.</w:t>
      </w:r>
    </w:p>
    <w:p>
      <w:pPr>
        <w:spacing w:after="160"/>
      </w:pPr>
      <w:r>
        <w:rPr>
          <w:b w:val="0"/>
          <w:i w:val="0"/>
          <w:sz w:val="24"/>
        </w:rPr>
        <w:t>The Lancet’s readership of clinicians, public health specialists, and policymakers is ideally positioned to appreciate the implications of this finding. While Bongaarts and Feeney (1998) and Goldstein, Lutz, and Scherbov (2003) established the theoretical foundations, the tempo effect has since been largely forgotten in policy circles. Our 40-country empirical validation brings renewed, evidence-based urgency to this overlooked lever.</w:t>
      </w:r>
    </w:p>
    <w:p>
      <w:pPr>
        <w:spacing w:after="160"/>
      </w:pPr>
      <w:r>
        <w:rPr>
          <w:b w:val="0"/>
          <w:i w:val="0"/>
          <w:sz w:val="24"/>
        </w:rPr>
        <w:t>The manuscript is approximately 300 words with one figure, conforming to The Lancet’s Correspondence format requirements. The work is original, has not been published previously, and is not under consideration elsewhere. All authors have approved the manuscript and declare no competing interests.</w:t>
      </w:r>
    </w:p>
    <w:p>
      <w:pPr>
        <w:spacing w:after="240"/>
      </w:pPr>
      <w:r>
        <w:rPr>
          <w:b w:val="0"/>
          <w:i w:val="0"/>
          <w:sz w:val="24"/>
        </w:rPr>
        <w:t>We believe this Correspondence will be of significant interest to The Lancet’s global readership given the widespread policy concern about demographic decline across OECD countries.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