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6):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r>
        <w:rPr>
          <w:i/>
        </w:rPr>
        <w:t>[Figure 3 near here — supplied as separate file fig3_collateral.png]</w:t>
      </w:r>
    </w:p>
    <w:p>
      <w:r>
        <w:rPr>
          <w:i/>
        </w:rPr>
        <w:t>[Figure 7 near here — supplied as separate file fig7_matched_exposure.png]</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4).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0.05871</w:t>
            </w:r>
          </w:p>
        </w:tc>
        <w:tc>
          <w:tcPr>
            <w:tcW w:type="dxa" w:w="1728"/>
          </w:tcPr>
          <w:p>
            <w:r>
              <w:rPr>
                <w:sz w:val="14"/>
              </w:rPr>
              <w:t>0.05093</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0.02989</w:t>
            </w:r>
          </w:p>
        </w:tc>
        <w:tc>
          <w:tcPr>
            <w:tcW w:type="dxa" w:w="1728"/>
          </w:tcPr>
          <w:p>
            <w:r>
              <w:rPr>
                <w:sz w:val="14"/>
              </w:rPr>
              <w:t>0.01866</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0.003016</w:t>
            </w:r>
          </w:p>
        </w:tc>
        <w:tc>
          <w:tcPr>
            <w:tcW w:type="dxa" w:w="1728"/>
          </w:tcPr>
          <w:p>
            <w:r>
              <w:rPr>
                <w:sz w:val="14"/>
              </w:rPr>
              <w:t>0.0003463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0.01278</w:t>
            </w:r>
          </w:p>
        </w:tc>
        <w:tc>
          <w:tcPr>
            <w:tcW w:type="dxa" w:w="1728"/>
          </w:tcPr>
          <w:p>
            <w:r>
              <w:rPr>
                <w:sz w:val="14"/>
              </w:rPr>
              <w:t>0.00271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0.008224</w:t>
            </w:r>
          </w:p>
        </w:tc>
        <w:tc>
          <w:tcPr>
            <w:tcW w:type="dxa" w:w="1728"/>
          </w:tcPr>
          <w:p>
            <w:r>
              <w:rPr>
                <w:sz w:val="14"/>
              </w:rPr>
              <w:t>0.001197</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0.05648</w:t>
            </w:r>
          </w:p>
        </w:tc>
        <w:tc>
          <w:tcPr>
            <w:tcW w:type="dxa" w:w="1728"/>
          </w:tcPr>
          <w:p>
            <w:r>
              <w:rPr>
                <w:sz w:val="14"/>
              </w:rPr>
              <w:t>0.03977</w:t>
            </w:r>
          </w:p>
        </w:tc>
      </w:tr>
    </w:tbl>
    <w:p>
      <w:pPr>
        <w:pStyle w:val="Heading2"/>
      </w:pPr>
      <w:r>
        <w:t>3.7 Negative controls</w:t>
      </w:r>
    </w:p>
    <w:p>
      <w:r>
        <w:t>All mandatory negative controls behave as required: high altitude (750 km: &lt;= 9.64e-3 m/s), high B = 200 (1.72e-1 m/s), a 60 s burst (5.37e-3 m/s) and a mis-timed pulse (0 m/s, no encounter) are all small compared with natural drag over the same window. The near-identical-trajectory control produces the expected failure of selectivity: the co-orbital protected twin absorbs 4.16e-1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1.06 ± 0.26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r>
        <w:rPr>
          <w:i/>
        </w:rPr>
        <w:t>[Figure 6 near here — supplied as separate file fig6_scaling_collapse.png]</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r>
        <w:rPr>
          <w:i/>
        </w:rPr>
        <w:t>[Figure 4 near here — supplied as separate file fig4_timing.png]</w:t>
      </w:r>
    </w:p>
    <w:p>
      <w:r>
        <w:rPr>
          <w:i/>
        </w:rPr>
        <w:t>[Figure 5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7. Target benefit (left) and protected-object collateral (right) under four matching conventions: the idealized localized bound, matched target exposure, matched enhanced spacetime volume, and matched lower-bound thermal energy.</w:t>
      </w:r>
    </w:p>
    <w:p>
      <w:r>
        <w:t>Figure 6. Simulated extra delta-v against the predicted value rho*delta*v_rel^2*T/(2B); all regimes, altitudes and ballistic coefficients collapse onto the identity line.</w:t>
      </w:r>
    </w:p>
    <w:p>
      <w:r>
        <w:t>Figure 4. Target extra delta-v versus intervention reference time for a best-case-sited fixed pulse and for a 4 h tracking window.</w:t>
      </w:r>
    </w:p>
    <w:p>
      <w:r>
        <w:t>Figure 5.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