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I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 xml:space="preserve">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w:t>
      </w:r>
      <w:r>
        <w:rPr>
          <w:i/>
        </w:rPr>
        <w:t>localized</w:t>
      </w:r>
      <w:r>
        <w:t xml:space="preserve"> density perturbation produce useful differential decay between a synthetic target and protected spacecraft — and where does the concept fail quantitatively? I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 xml:space="preserve">Two propagators are used: a DOP853 Cowell integrator with J2 and drag for validation, and a J2-secular semi-analytic integrator with orbit-averaged density for grid studies. Drag acceleration is </w:t>
      </w:r>
      <m:oMath>
        <m:f>
          <m:num>
            <m:r>
              <m:t xml:space="preserve">−ρ </m:t>
            </m:r>
            <m:sSup>
              <m:e>
                <m:sSub>
                  <m:e>
                    <m:r>
                      <m:t xml:space="preserve">v</m:t>
                    </m:r>
                  </m:e>
                  <m:sub>
                    <m:r>
                      <m:t xml:space="preserve">rel</m:t>
                    </m:r>
                  </m:sub>
                </m:sSub>
              </m:e>
              <m:sup>
                <m:r>
                  <m:t xml:space="preserve">2</m:t>
                </m:r>
              </m:sup>
            </m:sSup>
          </m:num>
          <m:den>
            <m:r>
              <m:t xml:space="preserve">2B</m:t>
            </m:r>
          </m:den>
        </m:f>
      </m:oMath>
      <w:r>
        <w:t xml:space="preserve"> along the relative wind with </w:t>
      </w:r>
      <m:oMath>
        <m:r>
          <m:t xml:space="preserve">B = </m:t>
        </m:r>
        <m:f>
          <m:num>
            <m:r>
              <m:t xml:space="preserve">m</m:t>
            </m:r>
          </m:num>
          <m:den>
            <m:sSub>
              <m:e>
                <m:r>
                  <m:t xml:space="preserve">C</m:t>
                </m:r>
              </m:e>
              <m:sub>
                <m:r>
                  <m:t xml:space="preserve">d</m:t>
                </m:r>
              </m:sub>
            </m:sSub>
            <m:r>
              <m:t xml:space="preserve"> A</m:t>
            </m:r>
          </m:den>
        </m:f>
      </m:oMath>
      <w:r>
        <w:t xml:space="preserve"> [12,13]; the semi-analytic decay rate </w:t>
      </w:r>
      <m:oMath>
        <m:f>
          <m:num>
            <m:r>
              <m:t xml:space="preserve">da</m:t>
            </m:r>
          </m:num>
          <m:den>
            <m:r>
              <m:t xml:space="preserve">dt</m:t>
            </m:r>
          </m:den>
        </m:f>
        <m:r>
          <m:t xml:space="preserve"> = −</m:t>
        </m:r>
        <m:f>
          <m:num>
            <m:r>
              <m:t xml:space="preserve">a ρ v</m:t>
            </m:r>
          </m:num>
          <m:den>
            <m:r>
              <m:t xml:space="preserve">B</m:t>
            </m:r>
          </m:den>
        </m:f>
        <m:sSup>
          <m:e>
            <m:d>
              <m:e>
                <m:f>
                  <m:num>
                    <m:sSub>
                      <m:e>
                        <m:r>
                          <m:t xml:space="preserve">v</m:t>
                        </m:r>
                      </m:e>
                      <m:sub>
                        <m:r>
                          <m:t xml:space="preserve">rel</m:t>
                        </m:r>
                      </m:sub>
                    </m:sSub>
                  </m:num>
                  <m:den>
                    <m:r>
                      <m:t xml:space="preserve">v</m:t>
                    </m:r>
                  </m:den>
                </m:f>
              </m:e>
            </m:d>
          </m:e>
          <m:sup>
            <m:r>
              <m:t xml:space="preserve">2</m:t>
            </m:r>
          </m:sup>
        </m:sSup>
      </m:oMath>
      <w:r>
        <w:t xml:space="preserve"> uses the same corotation factor </w:t>
      </w:r>
      <m:oMath>
        <m:f>
          <m:num>
            <m:sSub>
              <m:e>
                <m:r>
                  <m:t xml:space="preserve">v</m:t>
                </m:r>
              </m:e>
              <m:sub>
                <m:r>
                  <m:t xml:space="preserve">rel</m:t>
                </m:r>
              </m:sub>
            </m:sSub>
          </m:num>
          <m:den>
            <m:r>
              <m:t xml:space="preserve">v</m:t>
            </m:r>
          </m:den>
        </m:f>
        <m:r>
          <m:t xml:space="preserve"> = 1 − </m:t>
        </m:r>
        <m:f>
          <m:num>
            <m:sSub>
              <m:e>
                <m:r>
                  <m:t xml:space="preserve">Ω</m:t>
                </m:r>
              </m:e>
              <m:sub>
                <m:r>
                  <m:t xml:space="preserve">E</m:t>
                </m:r>
              </m:sub>
            </m:sSub>
            <m:r>
              <m:t xml:space="preserve"> a cos</m:t>
            </m:r>
            <m:d>
              <m:e>
                <m:r>
                  <m:t xml:space="preserve">i</m:t>
                </m:r>
              </m:e>
            </m:d>
          </m:num>
          <m:den>
            <m:r>
              <m:t xml:space="preserve">v</m:t>
            </m:r>
          </m:den>
        </m:f>
      </m:oMath>
      <w:r>
        <w:t xml:space="preserve"> as the Cowell reference, which brings the two propagators to 0.06%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 xml:space="preserve">The intervention is an abstract fractional enhancement </w:t>
      </w:r>
      <m:oMath>
        <m:r>
          <m:t xml:space="preserve">ρ′ = ρ</m:t>
        </m:r>
        <m:d>
          <m:e>
            <m:r>
              <m:t xml:space="preserve">1+δ</m:t>
            </m:r>
          </m:e>
        </m:d>
      </m:oMath>
      <w:r>
        <w:t xml:space="preserve"> shaped as a Gaussian patch (horizontal sigma_h, vertical sigma_v) in the co-rotating frame, optionally diffusing (</w:t>
      </w:r>
      <m:oMath>
        <m:sSup>
          <m:e>
            <m:sSub>
              <m:e>
                <m:r>
                  <m:t xml:space="preserve">σ</m:t>
                </m:r>
              </m:e>
              <m:sub>
                <m:r>
                  <m:t xml:space="preserve">h</m:t>
                </m:r>
              </m:sub>
            </m:sSub>
          </m:e>
          <m:sup>
            <m:r>
              <m:t xml:space="preserve">2</m:t>
            </m:r>
          </m:sup>
        </m:sSup>
        <m:r>
          <m:t xml:space="preserve"> ← </m:t>
        </m:r>
        <m:sSup>
          <m:e>
            <m:sSub>
              <m:e>
                <m:r>
                  <m:t xml:space="preserve">σ</m:t>
                </m:r>
              </m:e>
              <m:sub>
                <m:r>
                  <m:t xml:space="preserve">h</m:t>
                </m:r>
              </m:sub>
            </m:sSub>
          </m:e>
          <m:sup>
            <m:r>
              <m:t xml:space="preserve">2</m:t>
            </m:r>
          </m:sup>
        </m:sSup>
        <m:r>
          <m:t xml:space="preserve"> + 2κt</m:t>
        </m:r>
      </m:oMath>
      <w:r>
        <w: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6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 cells at the horizon are right-censored.</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3, Table S1).</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3).</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3):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21.9</w:t>
            </w:r>
          </w:p>
        </w:tc>
        <w:tc>
          <w:tcPr>
            <w:tcW w:type="dxa" w:w="960"/>
          </w:tcPr>
          <w:p>
            <w:r>
              <w:rPr>
                <w:sz w:val="14"/>
              </w:rPr>
              <w:t>-0.7758</w:t>
            </w:r>
          </w:p>
        </w:tc>
        <w:tc>
          <w:tcPr>
            <w:tcW w:type="dxa" w:w="960"/>
          </w:tcPr>
          <w:p>
            <w:r>
              <w:rPr>
                <w:sz w:val="14"/>
              </w:rPr>
              <w:t>0.007389</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2.226</w:t>
            </w:r>
          </w:p>
        </w:tc>
        <w:tc>
          <w:tcPr>
            <w:tcW w:type="dxa" w:w="960"/>
          </w:tcPr>
          <w:p>
            <w:r>
              <w:rPr>
                <w:sz w:val="14"/>
              </w:rPr>
              <w:t>0.003729</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3.394</w:t>
            </w:r>
          </w:p>
        </w:tc>
        <w:tc>
          <w:tcPr>
            <w:tcW w:type="dxa" w:w="960"/>
          </w:tcPr>
          <w:p>
            <w:r>
              <w:rPr>
                <w:sz w:val="14"/>
              </w:rPr>
              <w:t>0.001361</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342.1</w:t>
            </w:r>
          </w:p>
        </w:tc>
        <w:tc>
          <w:tcPr>
            <w:tcW w:type="dxa" w:w="960"/>
          </w:tcPr>
          <w:p>
            <w:r>
              <w:rPr>
                <w:sz w:val="14"/>
              </w:rPr>
              <w:t>-0.05378</w:t>
            </w:r>
          </w:p>
        </w:tc>
        <w:tc>
          <w:tcPr>
            <w:tcW w:type="dxa" w:w="960"/>
          </w:tcPr>
          <w:p>
            <w:r>
              <w:rPr>
                <w:sz w:val="14"/>
              </w:rPr>
              <w:t>-0.0008486</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79.11</w:t>
            </w:r>
          </w:p>
        </w:tc>
        <w:tc>
          <w:tcPr>
            <w:tcW w:type="dxa" w:w="960"/>
          </w:tcPr>
          <w:p>
            <w:r>
              <w:rPr>
                <w:sz w:val="14"/>
              </w:rPr>
              <w:t>-1.045</w:t>
            </w:r>
          </w:p>
        </w:tc>
        <w:tc>
          <w:tcPr>
            <w:tcW w:type="dxa" w:w="960"/>
          </w:tcPr>
          <w:p>
            <w:r>
              <w:rPr>
                <w:sz w:val="14"/>
              </w:rPr>
              <w:t>0.002747</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3.161</w:t>
            </w:r>
          </w:p>
        </w:tc>
        <w:tc>
          <w:tcPr>
            <w:tcW w:type="dxa" w:w="960"/>
          </w:tcPr>
          <w:p>
            <w:r>
              <w:rPr>
                <w:sz w:val="14"/>
              </w:rPr>
              <w:t>-0.005849</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1.051</w:t>
            </w:r>
          </w:p>
        </w:tc>
        <w:tc>
          <w:tcPr>
            <w:tcW w:type="dxa" w:w="960"/>
          </w:tcPr>
          <w:p>
            <w:r>
              <w:rPr>
                <w:sz w:val="14"/>
              </w:rPr>
              <w:t>0.0001953</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0.1046</w:t>
            </w:r>
          </w:p>
        </w:tc>
        <w:tc>
          <w:tcPr>
            <w:tcW w:type="dxa" w:w="960"/>
          </w:tcPr>
          <w:p>
            <w:r>
              <w:rPr>
                <w:sz w:val="14"/>
              </w:rPr>
              <w:t>0.0005647</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163.2</w:t>
            </w:r>
          </w:p>
        </w:tc>
        <w:tc>
          <w:tcPr>
            <w:tcW w:type="dxa" w:w="960"/>
          </w:tcPr>
          <w:p>
            <w:r>
              <w:rPr>
                <w:sz w:val="14"/>
              </w:rPr>
              <w:t>1.453</w:t>
            </w:r>
          </w:p>
        </w:tc>
        <w:tc>
          <w:tcPr>
            <w:tcW w:type="dxa" w:w="960"/>
          </w:tcPr>
          <w:p>
            <w:r>
              <w:rPr>
                <w:sz w:val="14"/>
              </w:rPr>
              <w:t>0.0001385</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0.00617</w:t>
            </w:r>
          </w:p>
        </w:tc>
        <w:tc>
          <w:tcPr>
            <w:tcW w:type="dxa" w:w="960"/>
          </w:tcPr>
          <w:p>
            <w:r>
              <w:rPr>
                <w:sz w:val="14"/>
              </w:rPr>
              <w:t>0.0005486</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1.604</w:t>
            </w:r>
          </w:p>
        </w:tc>
        <w:tc>
          <w:tcPr>
            <w:tcW w:type="dxa" w:w="960"/>
          </w:tcPr>
          <w:p>
            <w:r>
              <w:rPr>
                <w:sz w:val="14"/>
              </w:rPr>
              <w:t>0.0004985</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0.01795</w:t>
            </w:r>
          </w:p>
        </w:tc>
        <w:tc>
          <w:tcPr>
            <w:tcW w:type="dxa" w:w="960"/>
          </w:tcPr>
          <w:p>
            <w:r>
              <w:rPr>
                <w:sz w:val="14"/>
              </w:rPr>
              <w:t>0.002059</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1.676</w:t>
            </w:r>
          </w:p>
        </w:tc>
        <w:tc>
          <w:tcPr>
            <w:tcW w:type="dxa" w:w="960"/>
          </w:tcPr>
          <w:p>
            <w:r>
              <w:rPr>
                <w:sz w:val="14"/>
              </w:rPr>
              <w:t>0.002089</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-0.1368</w:t>
            </w:r>
          </w:p>
        </w:tc>
        <w:tc>
          <w:tcPr>
            <w:tcW w:type="dxa" w:w="960"/>
          </w:tcPr>
          <w:p>
            <w:r>
              <w:rPr>
                <w:sz w:val="14"/>
              </w:rPr>
              <w:t>0.002128</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-0.8284</w:t>
            </w:r>
          </w:p>
        </w:tc>
        <w:tc>
          <w:tcPr>
            <w:tcW w:type="dxa" w:w="960"/>
          </w:tcPr>
          <w:p>
            <w:r>
              <w:rPr>
                <w:sz w:val="14"/>
              </w:rPr>
              <w:t>-0.008707</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0.03211</w:t>
            </w:r>
          </w:p>
        </w:tc>
        <w:tc>
          <w:tcPr>
            <w:tcW w:type="dxa" w:w="960"/>
          </w:tcPr>
          <w:p>
            <w:r>
              <w:rPr>
                <w:sz w:val="14"/>
              </w:rPr>
              <w:t>-0.00116</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-2.033</w:t>
            </w:r>
          </w:p>
        </w:tc>
        <w:tc>
          <w:tcPr>
            <w:tcW w:type="dxa" w:w="960"/>
          </w:tcPr>
          <w:p>
            <w:r>
              <w:rPr>
                <w:sz w:val="14"/>
              </w:rPr>
              <w:t>-0.0007072</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-0.1295</w:t>
            </w:r>
          </w:p>
        </w:tc>
        <w:tc>
          <w:tcPr>
            <w:tcW w:type="dxa" w:w="960"/>
          </w:tcPr>
          <w:p>
            <w:r>
              <w:rPr>
                <w:sz w:val="14"/>
              </w:rPr>
              <w:t>0.0002582</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1.588</w:t>
            </w:r>
          </w:p>
        </w:tc>
        <w:tc>
          <w:tcPr>
            <w:tcW w:type="dxa" w:w="960"/>
          </w:tcPr>
          <w:p>
            <w:r>
              <w:rPr>
                <w:sz w:val="14"/>
              </w:rPr>
              <w:t>0.001809</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0.077</w:t>
            </w:r>
          </w:p>
        </w:tc>
        <w:tc>
          <w:tcPr>
            <w:tcW w:type="dxa" w:w="960"/>
          </w:tcPr>
          <w:p>
            <w:r>
              <w:rPr>
                <w:sz w:val="14"/>
              </w:rPr>
              <w:t>0.001845</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1.343</w:t>
            </w:r>
          </w:p>
        </w:tc>
        <w:tc>
          <w:tcPr>
            <w:tcW w:type="dxa" w:w="960"/>
          </w:tcPr>
          <w:p>
            <w:r>
              <w:rPr>
                <w:sz w:val="14"/>
              </w:rPr>
              <w:t>0.001433</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-0.04675</w:t>
            </w:r>
          </w:p>
        </w:tc>
        <w:tc>
          <w:tcPr>
            <w:tcW w:type="dxa" w:w="960"/>
          </w:tcPr>
          <w:p>
            <w:r>
              <w:rPr>
                <w:sz w:val="14"/>
              </w:rPr>
              <w:t>0.0002078</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0.2059</w:t>
            </w:r>
          </w:p>
        </w:tc>
        <w:tc>
          <w:tcPr>
            <w:tcW w:type="dxa" w:w="960"/>
          </w:tcPr>
          <w:p>
            <w:r>
              <w:rPr>
                <w:sz w:val="14"/>
              </w:rPr>
              <w:t>0.00202</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-0.01507</w:t>
            </w:r>
          </w:p>
        </w:tc>
        <w:tc>
          <w:tcPr>
            <w:tcW w:type="dxa" w:w="960"/>
          </w:tcPr>
          <w:p>
            <w:r>
              <w:rPr>
                <w:sz w:val="14"/>
              </w:rPr>
              <w:t>-0.0001054</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2.182</w:t>
            </w:r>
          </w:p>
        </w:tc>
        <w:tc>
          <w:tcPr>
            <w:tcW w:type="dxa" w:w="960"/>
          </w:tcPr>
          <w:p>
            <w:r>
              <w:rPr>
                <w:sz w:val="14"/>
              </w:rPr>
              <w:t>0.004523</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0.07541</w:t>
            </w:r>
          </w:p>
        </w:tc>
        <w:tc>
          <w:tcPr>
            <w:tcW w:type="dxa" w:w="960"/>
          </w:tcPr>
          <w:p>
            <w:r>
              <w:rPr>
                <w:sz w:val="14"/>
              </w:rPr>
              <w:t>-0.001774</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-1.96</w:t>
            </w:r>
          </w:p>
        </w:tc>
        <w:tc>
          <w:tcPr>
            <w:tcW w:type="dxa" w:w="960"/>
          </w:tcPr>
          <w:p>
            <w:r>
              <w:rPr>
                <w:sz w:val="14"/>
              </w:rPr>
              <w:t>7.901e-05</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4.085</w:t>
            </w:r>
          </w:p>
        </w:tc>
        <w:tc>
          <w:tcPr>
            <w:tcW w:type="dxa" w:w="960"/>
          </w:tcPr>
          <w:p>
            <w:r>
              <w:rPr>
                <w:sz w:val="14"/>
              </w:rPr>
              <w:t>-0.001512</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65.71</w:t>
            </w:r>
          </w:p>
        </w:tc>
        <w:tc>
          <w:tcPr>
            <w:tcW w:type="dxa" w:w="960"/>
          </w:tcPr>
          <w:p>
            <w:r>
              <w:rPr>
                <w:sz w:val="14"/>
              </w:rPr>
              <w:t>0.6352</w:t>
            </w:r>
          </w:p>
        </w:tc>
        <w:tc>
          <w:tcPr>
            <w:tcW w:type="dxa" w:w="960"/>
          </w:tcPr>
          <w:p>
            <w:r>
              <w:rPr>
                <w:sz w:val="14"/>
              </w:rPr>
              <w:t>-1.29e-06</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4.893</w:t>
            </w:r>
          </w:p>
        </w:tc>
        <w:tc>
          <w:tcPr>
            <w:tcW w:type="dxa" w:w="960"/>
          </w:tcPr>
          <w:p>
            <w:r>
              <w:rPr>
                <w:sz w:val="14"/>
              </w:rPr>
              <w:t>-0.0002563</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297.3</w:t>
            </w:r>
          </w:p>
        </w:tc>
        <w:tc>
          <w:tcPr>
            <w:tcW w:type="dxa" w:w="960"/>
          </w:tcPr>
          <w:p>
            <w:r>
              <w:rPr>
                <w:sz w:val="14"/>
              </w:rPr>
              <w:t>1.248</w:t>
            </w:r>
          </w:p>
        </w:tc>
        <w:tc>
          <w:tcPr>
            <w:tcW w:type="dxa" w:w="960"/>
          </w:tcPr>
          <w:p>
            <w:r>
              <w:rPr>
                <w:sz w:val="14"/>
              </w:rPr>
              <w:t>0.006178</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298.6</w:t>
            </w:r>
          </w:p>
        </w:tc>
        <w:tc>
          <w:tcPr>
            <w:tcW w:type="dxa" w:w="960"/>
          </w:tcPr>
          <w:p>
            <w:r>
              <w:rPr>
                <w:sz w:val="14"/>
              </w:rPr>
              <w:t>-0.07107</w:t>
            </w:r>
          </w:p>
        </w:tc>
        <w:tc>
          <w:tcPr>
            <w:tcW w:type="dxa" w:w="960"/>
          </w:tcPr>
          <w:p>
            <w:r>
              <w:rPr>
                <w:sz w:val="14"/>
              </w:rPr>
              <w:t>0.005824</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1.622</w:t>
            </w:r>
          </w:p>
        </w:tc>
        <w:tc>
          <w:tcPr>
            <w:tcW w:type="dxa" w:w="960"/>
          </w:tcPr>
          <w:p>
            <w:r>
              <w:rPr>
                <w:sz w:val="14"/>
              </w:rPr>
              <w:t>-0.16</w:t>
            </w:r>
          </w:p>
        </w:tc>
        <w:tc>
          <w:tcPr>
            <w:tcW w:type="dxa" w:w="960"/>
          </w:tcPr>
          <w:p>
            <w:r>
              <w:rPr>
                <w:sz w:val="14"/>
              </w:rPr>
              <w:t>0.000256</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0.7312</w:t>
            </w:r>
          </w:p>
        </w:tc>
        <w:tc>
          <w:tcPr>
            <w:tcW w:type="dxa" w:w="960"/>
          </w:tcPr>
          <w:p>
            <w:r>
              <w:rPr>
                <w:sz w:val="14"/>
              </w:rPr>
              <w:t>0.7303</w:t>
            </w:r>
          </w:p>
        </w:tc>
        <w:tc>
          <w:tcPr>
            <w:tcW w:type="dxa" w:w="960"/>
          </w:tcPr>
          <w:p>
            <w:r>
              <w:rPr>
                <w:sz w:val="14"/>
              </w:rPr>
              <w:t>-0.003288</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10.66</w:t>
            </w:r>
          </w:p>
        </w:tc>
        <w:tc>
          <w:tcPr>
            <w:tcW w:type="dxa" w:w="960"/>
          </w:tcPr>
          <w:p>
            <w:r>
              <w:rPr>
                <w:sz w:val="14"/>
              </w:rPr>
              <w:t>0.3367</w:t>
            </w:r>
          </w:p>
        </w:tc>
        <w:tc>
          <w:tcPr>
            <w:tcW w:type="dxa" w:w="960"/>
          </w:tcPr>
          <w:p>
            <w:r>
              <w:rPr>
                <w:sz w:val="14"/>
              </w:rPr>
              <w:t>-0.0006368</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11.04</w:t>
            </w:r>
          </w:p>
        </w:tc>
        <w:tc>
          <w:tcPr>
            <w:tcW w:type="dxa" w:w="960"/>
          </w:tcPr>
          <w:p>
            <w:r>
              <w:rPr>
                <w:sz w:val="14"/>
              </w:rPr>
              <w:t>-0.03875</w:t>
            </w:r>
          </w:p>
        </w:tc>
        <w:tc>
          <w:tcPr>
            <w:tcW w:type="dxa" w:w="960"/>
          </w:tcPr>
          <w:p>
            <w:r>
              <w:rPr>
                <w:sz w:val="14"/>
              </w:rPr>
              <w:t>-0.0009323</w:t>
            </w:r>
          </w:p>
        </w:tc>
        <w:tc>
          <w:tcPr>
            <w:tcW w:type="dxa" w:w="960"/>
          </w:tcPr>
          <w:p>
            <w:r>
              <w:rPr>
                <w:sz w:val="14"/>
              </w:rPr>
              <w:t>6.049e-80</w:t>
            </w:r>
          </w:p>
        </w:tc>
      </w:tr>
    </w:tbl>
    <w:p>
      <w:r>
        <w:rPr>
          <w:i/>
        </w:rPr>
        <w:t>Table 3.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 xml:space="preserve">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w:t>
      </w:r>
      <w:r>
        <w:rPr>
          <w:i/>
        </w:rPr>
        <w:t>intervention</w:t>
      </w:r>
      <w:r>
        <w:t xml:space="preserve">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4, Table 4, Table 5, Table S2).</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fig7_matched_exposure.png"/>
                    <pic:cNvPicPr/>
                  </pic:nvPicPr>
                  <pic:blipFill>
                    <a:blip r:embed="rId12"/>
                    <a:stretch>
                      <a:fillRect/>
                    </a:stretch>
                  </pic:blipFill>
                  <pic:spPr>
                    <a:xfrm>
                      <a:off x="0" y="0"/>
                      <a:ext cx="5486400" cy="2438400"/>
                    </a:xfrm>
                    <a:prstGeom prst="rect"/>
                  </pic:spPr>
                </pic:pic>
              </a:graphicData>
            </a:graphic>
          </wp:inline>
        </w:drawing>
      </w:r>
    </w:p>
    <w:p>
      <w:pPr>
        <w:jc w:val="center"/>
      </w:pPr>
      <w:r>
        <w:rPr>
          <w:i/>
        </w:rPr>
        <w:t>Figure 4. Target benefit (left) and protected-object collateral (right) under four matching conventions: the idealized localized bound, matched target exposure, matched enhanced spacetime volume, and matched lower-bound thermal energy.</w:t>
      </w:r>
    </w:p>
    <w:p>
      <w:r>
        <w:rPr>
          <w:i/>
        </w:rPr>
        <w:t>Table 4.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64.48</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4.88934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5.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0.1406</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64.48</w:t>
            </w:r>
          </w:p>
        </w:tc>
        <w:tc>
          <w:tcPr>
            <w:tcW w:type="dxa" w:w="1080"/>
          </w:tcPr>
          <w:p>
            <w:r>
              <w:rPr>
                <w:sz w:val="14"/>
              </w:rPr>
              <w:t>1.161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S1, Tables S3 and S4).</w:t>
      </w:r>
    </w:p>
    <w:p>
      <w:pPr>
        <w:pStyle w:val="Heading2"/>
      </w:pPr>
      <w:r>
        <w:t>3.6 Uncertainty and global sensitivity</w:t>
      </w:r>
    </w:p>
    <w:p>
      <w:r>
        <w:t xml:space="preserve">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w:t>
      </w:r>
      <w:r>
        <w:t>delta_max (ST = 0.54), with the exposure geometry parameters second. Indices are reported as computed and are never post-hoc constrained (Fig. S2, Fig. S3, Table 6, Table S5).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6.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0.05825</w:t>
            </w:r>
          </w:p>
        </w:tc>
        <w:tc>
          <w:tcPr>
            <w:tcW w:type="dxa" w:w="1728"/>
          </w:tcPr>
          <w:p>
            <w:r>
              <w:rPr>
                <w:sz w:val="14"/>
              </w:rPr>
              <w:t>0.0449</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0.03248</w:t>
            </w:r>
          </w:p>
        </w:tc>
        <w:tc>
          <w:tcPr>
            <w:tcW w:type="dxa" w:w="1728"/>
          </w:tcPr>
          <w:p>
            <w:r>
              <w:rPr>
                <w:sz w:val="14"/>
              </w:rPr>
              <w:t>0.02222</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0.002748</w:t>
            </w:r>
          </w:p>
        </w:tc>
        <w:tc>
          <w:tcPr>
            <w:tcW w:type="dxa" w:w="1728"/>
          </w:tcPr>
          <w:p>
            <w:r>
              <w:rPr>
                <w:sz w:val="14"/>
              </w:rPr>
              <w:t>0.0003669</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0.01287</w:t>
            </w:r>
          </w:p>
        </w:tc>
        <w:tc>
          <w:tcPr>
            <w:tcW w:type="dxa" w:w="1728"/>
          </w:tcPr>
          <w:p>
            <w:r>
              <w:rPr>
                <w:sz w:val="14"/>
              </w:rPr>
              <w:t>0.002349</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0.008894</w:t>
            </w:r>
          </w:p>
        </w:tc>
        <w:tc>
          <w:tcPr>
            <w:tcW w:type="dxa" w:w="1728"/>
          </w:tcPr>
          <w:p>
            <w:r>
              <w:rPr>
                <w:sz w:val="14"/>
              </w:rPr>
              <w:t>0.001093</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0.04599</w:t>
            </w:r>
          </w:p>
        </w:tc>
        <w:tc>
          <w:tcPr>
            <w:tcW w:type="dxa" w:w="1728"/>
          </w:tcPr>
          <w:p>
            <w:r>
              <w:rPr>
                <w:sz w:val="14"/>
              </w:rPr>
              <w:t>0.04052</w:t>
            </w:r>
          </w:p>
        </w:tc>
      </w:tr>
    </w:tbl>
    <w:p>
      <w:pPr>
        <w:pStyle w:val="Heading2"/>
      </w:pPr>
      <w:r>
        <w:t>3.7 Negative controls</w:t>
      </w:r>
    </w:p>
    <w:p>
      <w:r>
        <w:t>All mandatory negative controls behave as required: high altitude (750 km: &lt;= 9.64e-3 m/s), high B = 200 (1.72e-1 m/s), a 60 s burst (5.37e-3 m/s) and a mis-timed pulse (0 m/s, no encounter) are all small in absolute terms. The near-identical-trajectory control produces the expected failure of selectivity: the co-orbital protected twin absorbs 4.16e-1 m/s, comparable to its target, because it shares the target's trajectory tube (Table 7, Fig. S4, Table S6).</w:t>
      </w:r>
    </w:p>
    <w:p>
      <w:r>
        <w:rPr>
          <w:i/>
        </w:rPr>
        <w:t>Table 7.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 xml:space="preserve">Simulated delta-v collapses onto </w:t>
      </w:r>
      <m:oMath>
        <m:r>
          <m:t xml:space="preserve">Π = </m:t>
        </m:r>
        <m:f>
          <m:num>
            <m:r>
              <m:t xml:space="preserve">2 dv B</m:t>
            </m:r>
          </m:num>
          <m:den>
            <m:r>
              <m:t xml:space="preserve">ρ δ </m:t>
            </m:r>
            <m:sSup>
              <m:e>
                <m:sSub>
                  <m:e>
                    <m:r>
                      <m:t xml:space="preserve">v</m:t>
                    </m:r>
                  </m:e>
                  <m:sub>
                    <m:r>
                      <m:t xml:space="preserve">rel</m:t>
                    </m:r>
                  </m:sub>
                </m:sSub>
              </m:e>
              <m:sup>
                <m:r>
                  <m:t xml:space="preserve">2</m:t>
                </m:r>
              </m:sup>
            </m:sSup>
            <m:r>
              <m:t xml:space="preserve"> T</m:t>
            </m:r>
          </m:den>
        </m:f>
      </m:oMath>
      <w:r>
        <w:t xml:space="preserve"> = 1.06 ± 0.26 (median 1.02, IQR 0.04) across regimes, altitudes and B, with a log-log slope of 1.02 and R^2 = 0.9984; the 7 of 480 excursions above the collapse are confined to very low ballistic coefficients where the induced drift is largest. The expected value is 1/2 from </w:t>
      </w:r>
      <m:oMath>
        <m:r>
          <m:t xml:space="preserve">a = </m:t>
        </m:r>
        <m:f>
          <m:num>
            <m:r>
              <m:t xml:space="preserve">ρ </m:t>
            </m:r>
            <m:sSup>
              <m:e>
                <m:sSub>
                  <m:e>
                    <m:r>
                      <m:t xml:space="preserve">v</m:t>
                    </m:r>
                  </m:e>
                  <m:sub>
                    <m:r>
                      <m:t xml:space="preserve">rel</m:t>
                    </m:r>
                  </m:sub>
                </m:sSub>
              </m:e>
              <m:sup>
                <m:r>
                  <m:t xml:space="preserve">2</m:t>
                </m:r>
              </m:sup>
            </m:sSup>
          </m:num>
          <m:den>
            <m:r>
              <m:t xml:space="preserve">2B</m:t>
            </m:r>
          </m:den>
        </m:f>
      </m:oMath>
      <w:r>
        <w:t xml:space="preserve">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5).</w:t>
      </w:r>
    </w:p>
    <w:p>
      <w:pPr>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6_scaling_collapse.png"/>
                    <pic:cNvPicPr/>
                  </pic:nvPicPr>
                  <pic:blipFill>
                    <a:blip r:embed="rId13"/>
                    <a:stretch>
                      <a:fillRect/>
                    </a:stretch>
                  </pic:blipFill>
                  <pic:spPr>
                    <a:xfrm>
                      <a:off x="0" y="0"/>
                      <a:ext cx="5486400" cy="4389120"/>
                    </a:xfrm>
                    <a:prstGeom prst="rect"/>
                  </pic:spPr>
                </pic:pic>
              </a:graphicData>
            </a:graphic>
          </wp:inline>
        </w:drawing>
      </w:r>
    </w:p>
    <w:p>
      <w:pPr>
        <w:jc w:val="center"/>
      </w:pPr>
      <w:r>
        <w:rPr>
          <w:i/>
        </w:rPr>
        <w:t xml:space="preserve">Figure 5. Simulated extra delta-v against the predicted value </w:t>
      </w:r>
      <m:oMath>
        <m:f>
          <m:num>
            <m:r>
              <m:t xml:space="preserve">ρ δ </m:t>
            </m:r>
            <m:sSup>
              <m:e>
                <m:sSub>
                  <m:e>
                    <m:r>
                      <m:t xml:space="preserve">v</m:t>
                    </m:r>
                  </m:e>
                  <m:sub>
                    <m:r>
                      <m:t xml:space="preserve">rel</m:t>
                    </m:r>
                  </m:sub>
                </m:sSub>
              </m:e>
              <m:sup>
                <m:r>
                  <m:t xml:space="preserve">2</m:t>
                </m:r>
              </m:sup>
            </m:sSup>
            <m:r>
              <m:t xml:space="preserve"> T</m:t>
            </m:r>
          </m:num>
          <m:den>
            <m:r>
              <m:t xml:space="preserve">2B</m:t>
            </m:r>
          </m:den>
        </m:f>
      </m:oMath>
      <w:r>
        <w:rPr>
          <w:i/>
        </w:rPr>
        <w:t>; all regimes, altitudes and ballistic coefficients collapse onto the identity line.</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6, Fig. 7, Tables S7–S9).</w:t>
      </w:r>
    </w:p>
    <w:p>
      <w:pPr>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fig4_timing.png"/>
                    <pic:cNvPicPr/>
                  </pic:nvPicPr>
                  <pic:blipFill>
                    <a:blip r:embed="rId14"/>
                    <a:stretch>
                      <a:fillRect/>
                    </a:stretch>
                  </pic:blipFill>
                  <pic:spPr>
                    <a:xfrm>
                      <a:off x="0" y="0"/>
                      <a:ext cx="5486400" cy="3657600"/>
                    </a:xfrm>
                    <a:prstGeom prst="rect"/>
                  </pic:spPr>
                </pic:pic>
              </a:graphicData>
            </a:graphic>
          </wp:inline>
        </w:drawing>
      </w:r>
    </w:p>
    <w:p>
      <w:pPr>
        <w:jc w:val="center"/>
      </w:pPr>
      <w:r>
        <w:rPr>
          <w:i/>
        </w:rPr>
        <w:t>Figure 6.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7" name="Picture 7"/>
            <wp:cNvGraphicFramePr>
              <a:graphicFrameLocks noChangeAspect="1"/>
            </wp:cNvGraphicFramePr>
            <a:graphic>
              <a:graphicData uri="http://schemas.openxmlformats.org/drawingml/2006/picture">
                <pic:pic>
                  <pic:nvPicPr>
                    <pic:cNvPr id="0" name="fig5_pareto.png"/>
                    <pic:cNvPicPr/>
                  </pic:nvPicPr>
                  <pic:blipFill>
                    <a:blip r:embed="rId15"/>
                    <a:stretch>
                      <a:fillRect/>
                    </a:stretch>
                  </pic:blipFill>
                  <pic:spPr>
                    <a:xfrm>
                      <a:off x="0" y="0"/>
                      <a:ext cx="5486400" cy="3990109"/>
                    </a:xfrm>
                    <a:prstGeom prst="rect"/>
                  </pic:spPr>
                </pic:pic>
              </a:graphicData>
            </a:graphic>
          </wp:inline>
        </w:drawing>
      </w:r>
    </w:p>
    <w:p>
      <w:pPr>
        <w:jc w:val="center"/>
      </w:pPr>
      <w:r>
        <w:rPr>
          <w:i/>
        </w:rPr>
        <w:t>Figure 7. Target benefit against protected-object collateral over the design sweep; the Pareto front is highlighted and colour encodes horizontal patch scale.</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 xml:space="preserve">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w:t>
      </w:r>
      <m:oMath>
        <m:r>
          <m:t xml:space="preserve">exp[</m:t>
        </m:r>
        <m:f>
          <m:num>
            <m:r>
              <m:t xml:space="preserve">L ε</m:t>
            </m:r>
          </m:num>
          <m:den>
            <m:r>
              <m:t xml:space="preserve">H </m:t>
            </m:r>
            <m:d>
              <m:e>
                <m:r>
                  <m:t xml:space="preserve">1+ε</m:t>
                </m:r>
              </m:e>
            </m:d>
          </m:den>
        </m:f>
        <m:r>
          <m:t xml:space="preserve">]</m:t>
        </m:r>
      </m:oMath>
      <w:r>
        <w:t xml:space="preserve"> with L the column length, so with </w:t>
      </w:r>
      <m:oMath>
        <m:r>
          <m:t xml:space="preserve">q = </m:t>
        </m:r>
        <m:f>
          <m:num>
            <m:r>
              <m:t xml:space="preserve">ln</m:t>
            </m:r>
            <m:d>
              <m:e>
                <m:r>
                  <m:t xml:space="preserve">1+δ</m:t>
                </m:r>
              </m:e>
            </m:d>
            <m:r>
              <m:t xml:space="preserve"> H</m:t>
            </m:r>
          </m:num>
          <m:den>
            <m:r>
              <m:t xml:space="preserve">L</m:t>
            </m:r>
          </m:den>
        </m:f>
      </m:oMath>
      <w:r>
        <w:t xml:space="preserve"> the requirement is </w:t>
      </w:r>
      <m:oMath>
        <m:r>
          <m:t xml:space="preserve">ε = </m:t>
        </m:r>
        <m:f>
          <m:num>
            <m:r>
              <m:t xml:space="preserve">q</m:t>
            </m:r>
          </m:num>
          <m:den>
            <m:r>
              <m:t xml:space="preserve">1 − q</m:t>
            </m:r>
          </m:den>
        </m:f>
      </m:oMath>
      <w:r>
        <w:t xml:space="preserve">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pPr>
        <w:jc w:val="center"/>
      </w:pPr>
      <w:r>
        <w:drawing>
          <wp:inline xmlns:a="http://schemas.openxmlformats.org/drawingml/2006/main" xmlns:pic="http://schemas.openxmlformats.org/drawingml/2006/picture">
            <wp:extent cx="5486400" cy="3990109"/>
            <wp:docPr id="8" name="Picture 8"/>
            <wp:cNvGraphicFramePr>
              <a:graphicFrameLocks noChangeAspect="1"/>
            </wp:cNvGraphicFramePr>
            <a:graphic>
              <a:graphicData uri="http://schemas.openxmlformats.org/drawingml/2006/picture">
                <pic:pic>
                  <pic:nvPicPr>
                    <pic:cNvPr id="0" name="fig8_energy_bounds.png"/>
                    <pic:cNvPicPr/>
                  </pic:nvPicPr>
                  <pic:blipFill>
                    <a:blip r:embed="rId16"/>
                    <a:stretch>
                      <a:fillRect/>
                    </a:stretch>
                  </pic:blipFill>
                  <pic:spPr>
                    <a:xfrm>
                      <a:off x="0" y="0"/>
                      <a:ext cx="5486400" cy="3990109"/>
                    </a:xfrm>
                    <a:prstGeom prst="rect"/>
                  </pic:spPr>
                </pic:pic>
              </a:graphicData>
            </a:graphic>
          </wp:inline>
        </w:drawing>
      </w:r>
    </w:p>
    <w:p>
      <w:pPr>
        <w:jc w:val="center"/>
      </w:pPr>
      <w:r>
        <w:rPr>
          <w:i/>
        </w:rPr>
        <w:t>Figure 8. Sustained power corresponding to the thermodynamic lower bounds of Table 8, versus altitude and enhancement amplitude.</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0.06%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I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 xml:space="preserve">All results regenerate from </w:t>
      </w:r>
      <w:r>
        <w:t xml:space="preserve">make all (or </w:t>
      </w:r>
      <w:r>
        <w:t>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