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We formulate re-layout as weighted Steiner-tree synthesis on the municipal road graph with per-edge conductor sizing, and we enforce engineering feasibility (415 V radial feeders sized for coincident load, ~150 kVA transformer zones, ampacity, 6% voltage-drop limit) before any scenario comparison; the linearized power flow is validated against pandapower AC power flow on every feasible synthesized feeder. Across 554 feasible LV clusters serving 58.6 MW of modeled LV demand in three Japanese municipalities, VoF is 0.01%, 0.39%, and 0.20% of like-for-like NPC in Sano, Kudamatsu, and Yasu — inside a pre-registered 1% economic-equivalence margin: the reconstructed incumbent-like LV layouts were economically equivalent to the best feasible redesigns within the modeled design space. A secondary naive scenario difference ΔNPC reaches -10% in Kudamatsu, but this is an estimand artifact (candidate sets exclude the incumbent, and ensemble means are compared to single candidates) that vanishes under the VoF estimand and is not robust to the LV/MV boundary assumption. Once LV physics is respected, like-for-like renewal is a defensible default; feasibility gating and estimand design are the analysis, not refinements.</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bounded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r>
        <w:t>Two contrasts are distinguished. The primary estimand is the value of topology flexibility</w:t>
      </w:r>
    </w:p>
    <w:p>
      <m:oMathPara>
        <m:oMath>
          <m:r>
            <m:t>VoF = mean_r max(0, NPC(S1_r) − min(NPC(S1_r), NPC(S2)))</m:t>
          </m:r>
        </m:oMath>
      </m:oMathPara>
    </w:p>
    <w:p>
      <w:r>
        <w:t>averaged over reconstruction replicates r: retaining the incumbent layout is an admissible decision inside the redesign set, so VoF is nonnegative by construction and measures the value of having redesign available as an option, not of forcing it. The secondary, naive contrast ΔNPC (defined below) instead compares the ensemble-based incumbent representation against a forced-redesign candidate set that excludes the incumbent itself. Economic equivalence is pre-registered at |Δ|/NPC(S1) ≤ 1%: the margin was frozen in config/ECONOMIC_EQUIVALENCE_SPEC.yaml before outcome inspection, derived from the model's resolution limits (±30% construction-cost uncertainty, surrogate loss-model error, and municipal unit-price variation), not from observed effect sizes.</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zones (554 feasible) serving 58.6 MW of modeled LV peak demand — 75%, 55%, and 53% of total zone demand in Sano/Kudamatsu/Yasu (the remainder is MV-served by design and cancels in every contrast). The primary estimand VoF is 0.01% (0.0007 bn JPY), 0.39%, and 0.20%: all three zones fall inside the pre-registered 1% economic-equivalence margin and are classified economically_equivalent (config/ECONOMIC_EQUIVALENCE_SPEC.yaml). The secondary naive contrast ΔNPC is 0.01%, -10.1%, and 0.20%; conductor upsizing is negligible and peak losses are essentially unchanged, so the contrast is entirely a construction-cost comparison (Figures 1–3).</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A secondary rooftop-PV overlay (S3; 25.1, 8.1, and 8.2 MWp modeled potential) is scenario-based, relies on generous self-consumption assumptions, and is reported as an upper bound in the Supplement (Figure S1); it does not alter the primary VoF conclusion.</w:t>
      </w:r>
    </w:p>
    <w:p>
      <w:pPr>
        <w:pStyle w:val="Heading1"/>
      </w:pPr>
      <w:r>
        <w:t>4. Discussion</w:t>
      </w:r>
    </w:p>
    <w:p>
      <w:r>
        <w:t>The central finding is bounded and informative: under the nonnegative VoF estimand, inherited LV layouts in all three zones are economically equivalent to the best feasible re-layout — the value of topology flexibility at renewal is below 0.5% of life-cycle cost everywhere. Two methodological controls produce this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 (audit_v2/KUDAMATSU_MECHANISM_AUDIT.md).</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evaluated on 672 feasible synthesized feeders, all converged). This validates the linearized calculations on synthesized feeder models, not actual municipal topology.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1% margin). Large headline ΔNPC magnitudes reported for re-layout at renewal should be audited for feasibility gating and for estimand design before they are cited as benefits. Practical guidance: like-for-like undergrounding renewal is a defensible default at LV scale; the small modeled value of LV topology flexibility suggests that MV-level planning and distributed-generation integration may warrant separate evaluation rather than assuming substantial gains from LV re-layout alone.</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mean of the secondary naive ΔNPC.</w:t>
      </w:r>
    </w:p>
    <w:p>
      <w:r>
        <w:t>Figure 4. Sensitivity to engineering assumptions in all zones: secondary naive ΔNPC ranges (bars) vs primary VoF (dots); grey band = pre-registered 1% economic-equivalence margin.</w:t>
      </w:r>
    </w:p>
    <w:p>
      <w:pPr>
        <w:pStyle w:val="Heading1"/>
      </w:pPr>
      <w:r>
        <w:t>Supplementary material</w:t>
      </w:r>
    </w:p>
    <w:p>
      <w:r>
        <w:t>Figure S1. NPC of S2 vs the secondary rooftop-PV overlay S3 by zone (scenario-based upper bound; does not alter the primary VoF conclusion).</w:t>
      </w:r>
    </w:p>
    <w:p>
      <w:r>
        <w:t>Benchmark note. A second public MV benchmark (Iwamoto 11-bus) failed to converge in pandapower 3.5.5 and is excluded from validation statistics; the AC agreement reported in the main text covers all 672 feasible synthesized feeders.</w:t>
      </w:r>
    </w:p>
    <w:p>
      <w:r>
        <w:t>Additional machine-readable tables: cluster-level results, engineering-assumption sensitivity, Monte-Carlo sweep, and the claim-evidence matrix are provided as CSVs in the submission package.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city</w:t>
            </w:r>
          </w:p>
        </w:tc>
        <w:tc>
          <w:tcPr>
            <w:tcW w:type="dxa" w:w="720"/>
          </w:tcPr>
          <w:p>
            <w:r>
              <w:t>clusters</w:t>
            </w:r>
          </w:p>
        </w:tc>
        <w:tc>
          <w:tcPr>
            <w:tcW w:type="dxa" w:w="720"/>
          </w:tcPr>
          <w:p>
            <w:r>
              <w:t>clusters_feasible</w:t>
            </w:r>
          </w:p>
        </w:tc>
        <w:tc>
          <w:tcPr>
            <w:tcW w:type="dxa" w:w="720"/>
          </w:tcPr>
          <w:p>
            <w:r>
              <w:t>demand_MW</w:t>
            </w:r>
          </w:p>
        </w:tc>
        <w:tc>
          <w:tcPr>
            <w:tcW w:type="dxa" w:w="720"/>
          </w:tcPr>
          <w:p>
            <w:r>
              <w:t>S1_NPC_bn</w:t>
            </w:r>
          </w:p>
        </w:tc>
        <w:tc>
          <w:tcPr>
            <w:tcW w:type="dxa" w:w="720"/>
          </w:tcPr>
          <w:p>
            <w:r>
              <w:t>S2_NPC_bn</w:t>
            </w:r>
          </w:p>
        </w:tc>
        <w:tc>
          <w:tcPr>
            <w:tcW w:type="dxa" w:w="720"/>
          </w:tcPr>
          <w:p>
            <w:r>
              <w:t>VoF_bn</w:t>
            </w:r>
          </w:p>
        </w:tc>
        <w:tc>
          <w:tcPr>
            <w:tcW w:type="dxa" w:w="720"/>
          </w:tcPr>
          <w:p>
            <w:r>
              <w:t>VoF_pct_primary</w:t>
            </w:r>
          </w:p>
        </w:tc>
        <w:tc>
          <w:tcPr>
            <w:tcW w:type="dxa" w:w="720"/>
          </w:tcPr>
          <w:p>
            <w:r>
              <w:t>P_VoF_pos</w:t>
            </w:r>
          </w:p>
        </w:tc>
        <w:tc>
          <w:tcPr>
            <w:tcW w:type="dxa" w:w="720"/>
          </w:tcPr>
          <w:p>
            <w:r>
              <w:t>Delta_NPC_bn_secondary</w:t>
            </w:r>
          </w:p>
        </w:tc>
        <w:tc>
          <w:tcPr>
            <w:tcW w:type="dxa" w:w="720"/>
          </w:tcPr>
          <w:p>
            <w:r>
              <w:t>Delta_NPC_pct_secondary</w:t>
            </w:r>
          </w:p>
        </w:tc>
        <w:tc>
          <w:tcPr>
            <w:tcW w:type="dxa" w:w="720"/>
          </w:tcPr>
          <w:p>
            <w:r>
              <w:t>mean_TDD</w:t>
            </w:r>
          </w:p>
        </w:tc>
      </w:tr>
      <w:tr>
        <w:tc>
          <w:tcPr>
            <w:tcW w:type="dxa" w:w="720"/>
          </w:tcPr>
          <w:p>
            <w:r>
              <w:t>sano</w:t>
            </w:r>
          </w:p>
        </w:tc>
        <w:tc>
          <w:tcPr>
            <w:tcW w:type="dxa" w:w="720"/>
          </w:tcPr>
          <w:p>
            <w:r>
              <w:t>385</w:t>
            </w:r>
          </w:p>
        </w:tc>
        <w:tc>
          <w:tcPr>
            <w:tcW w:type="dxa" w:w="720"/>
          </w:tcPr>
          <w:p>
            <w:r>
              <w:t>360</w:t>
            </w:r>
          </w:p>
        </w:tc>
        <w:tc>
          <w:tcPr>
            <w:tcW w:type="dxa" w:w="720"/>
          </w:tcPr>
          <w:p>
            <w:r>
              <w:t>38.4</w:t>
            </w:r>
          </w:p>
        </w:tc>
        <w:tc>
          <w:tcPr>
            <w:tcW w:type="dxa" w:w="720"/>
          </w:tcPr>
          <w:p>
            <w:r>
              <w:t>4.84</w:t>
            </w:r>
          </w:p>
        </w:tc>
        <w:tc>
          <w:tcPr>
            <w:tcW w:type="dxa" w:w="720"/>
          </w:tcPr>
          <w:p>
            <w:r>
              <w:t>4.84</w:t>
            </w:r>
          </w:p>
        </w:tc>
        <w:tc>
          <w:tcPr>
            <w:tcW w:type="dxa" w:w="720"/>
          </w:tcPr>
          <w:p>
            <w:r>
              <w:t>0.000702</w:t>
            </w:r>
          </w:p>
        </w:tc>
        <w:tc>
          <w:tcPr>
            <w:tcW w:type="dxa" w:w="720"/>
          </w:tcPr>
          <w:p>
            <w:r>
              <w:t>0.0145</w:t>
            </w:r>
          </w:p>
        </w:tc>
        <w:tc>
          <w:tcPr>
            <w:tcW w:type="dxa" w:w="720"/>
          </w:tcPr>
          <w:p>
            <w:r>
              <w:t>0.00833</w:t>
            </w:r>
          </w:p>
        </w:tc>
        <w:tc>
          <w:tcPr>
            <w:tcW w:type="dxa" w:w="720"/>
          </w:tcPr>
          <w:p>
            <w:r>
              <w:t>0.000702</w:t>
            </w:r>
          </w:p>
        </w:tc>
        <w:tc>
          <w:tcPr>
            <w:tcW w:type="dxa" w:w="720"/>
          </w:tcPr>
          <w:p>
            <w:r>
              <w:t>0.0145</w:t>
            </w:r>
          </w:p>
        </w:tc>
        <w:tc>
          <w:tcPr>
            <w:tcW w:type="dxa" w:w="720"/>
          </w:tcPr>
          <w:p>
            <w:r>
              <w:t>0.00281</w:t>
            </w:r>
          </w:p>
        </w:tc>
      </w:tr>
      <w:tr>
        <w:tc>
          <w:tcPr>
            <w:tcW w:type="dxa" w:w="720"/>
          </w:tcPr>
          <w:p>
            <w:r>
              <w:t>kudamatsu</w:t>
            </w:r>
          </w:p>
        </w:tc>
        <w:tc>
          <w:tcPr>
            <w:tcW w:type="dxa" w:w="720"/>
          </w:tcPr>
          <w:p>
            <w:r>
              <w:t>96</w:t>
            </w:r>
          </w:p>
        </w:tc>
        <w:tc>
          <w:tcPr>
            <w:tcW w:type="dxa" w:w="720"/>
          </w:tcPr>
          <w:p>
            <w:r>
              <w:t>88</w:t>
            </w:r>
          </w:p>
        </w:tc>
        <w:tc>
          <w:tcPr>
            <w:tcW w:type="dxa" w:w="720"/>
          </w:tcPr>
          <w:p>
            <w:r>
              <w:t>9.5</w:t>
            </w:r>
          </w:p>
        </w:tc>
        <w:tc>
          <w:tcPr>
            <w:tcW w:type="dxa" w:w="720"/>
          </w:tcPr>
          <w:p>
            <w:r>
              <w:t>4.65</w:t>
            </w:r>
          </w:p>
        </w:tc>
        <w:tc>
          <w:tcPr>
            <w:tcW w:type="dxa" w:w="720"/>
          </w:tcPr>
          <w:p>
            <w:r>
              <w:t>5.12</w:t>
            </w:r>
          </w:p>
        </w:tc>
        <w:tc>
          <w:tcPr>
            <w:tcW w:type="dxa" w:w="720"/>
          </w:tcPr>
          <w:p>
            <w:r>
              <w:t>0.0183</w:t>
            </w:r>
          </w:p>
        </w:tc>
        <w:tc>
          <w:tcPr>
            <w:tcW w:type="dxa" w:w="720"/>
          </w:tcPr>
          <w:p>
            <w:r>
              <w:t>0.394</w:t>
            </w:r>
          </w:p>
        </w:tc>
        <w:tc>
          <w:tcPr>
            <w:tcW w:type="dxa" w:w="720"/>
          </w:tcPr>
          <w:p>
            <w:r>
              <w:t>0.159</w:t>
            </w:r>
          </w:p>
        </w:tc>
        <w:tc>
          <w:tcPr>
            <w:tcW w:type="dxa" w:w="720"/>
          </w:tcPr>
          <w:p>
            <w:r>
              <w:t>-0.468</w:t>
            </w:r>
          </w:p>
        </w:tc>
        <w:tc>
          <w:tcPr>
            <w:tcW w:type="dxa" w:w="720"/>
          </w:tcPr>
          <w:p>
            <w:r>
              <w:t>-10.1</w:t>
            </w:r>
          </w:p>
        </w:tc>
        <w:tc>
          <w:tcPr>
            <w:tcW w:type="dxa" w:w="720"/>
          </w:tcPr>
          <w:p>
            <w:r>
              <w:t>0.0537</w:t>
            </w:r>
          </w:p>
        </w:tc>
      </w:tr>
      <w:tr>
        <w:tc>
          <w:tcPr>
            <w:tcW w:type="dxa" w:w="720"/>
          </w:tcPr>
          <w:p>
            <w:r>
              <w:t>yasu</w:t>
            </w:r>
          </w:p>
        </w:tc>
        <w:tc>
          <w:tcPr>
            <w:tcW w:type="dxa" w:w="720"/>
          </w:tcPr>
          <w:p>
            <w:r>
              <w:t>108</w:t>
            </w:r>
          </w:p>
        </w:tc>
        <w:tc>
          <w:tcPr>
            <w:tcW w:type="dxa" w:w="720"/>
          </w:tcPr>
          <w:p>
            <w:r>
              <w:t>106</w:t>
            </w:r>
          </w:p>
        </w:tc>
        <w:tc>
          <w:tcPr>
            <w:tcW w:type="dxa" w:w="720"/>
          </w:tcPr>
          <w:p>
            <w:r>
              <w:t>10.7</w:t>
            </w:r>
          </w:p>
        </w:tc>
        <w:tc>
          <w:tcPr>
            <w:tcW w:type="dxa" w:w="720"/>
          </w:tcPr>
          <w:p>
            <w:r>
              <w:t>3</w:t>
            </w:r>
          </w:p>
        </w:tc>
        <w:tc>
          <w:tcPr>
            <w:tcW w:type="dxa" w:w="720"/>
          </w:tcPr>
          <w:p>
            <w:r>
              <w:t>2.99</w:t>
            </w:r>
          </w:p>
        </w:tc>
        <w:tc>
          <w:tcPr>
            <w:tcW w:type="dxa" w:w="720"/>
          </w:tcPr>
          <w:p>
            <w:r>
              <w:t>0.00603</w:t>
            </w:r>
          </w:p>
        </w:tc>
        <w:tc>
          <w:tcPr>
            <w:tcW w:type="dxa" w:w="720"/>
          </w:tcPr>
          <w:p>
            <w:r>
              <w:t>0.201</w:t>
            </w:r>
          </w:p>
        </w:tc>
        <w:tc>
          <w:tcPr>
            <w:tcW w:type="dxa" w:w="720"/>
          </w:tcPr>
          <w:p>
            <w:r>
              <w:t>0.0849</w:t>
            </w:r>
          </w:p>
        </w:tc>
        <w:tc>
          <w:tcPr>
            <w:tcW w:type="dxa" w:w="720"/>
          </w:tcPr>
          <w:p>
            <w:r>
              <w:t>0.00603</w:t>
            </w:r>
          </w:p>
        </w:tc>
        <w:tc>
          <w:tcPr>
            <w:tcW w:type="dxa" w:w="720"/>
          </w:tcPr>
          <w:p>
            <w:r>
              <w:t>0.201</w:t>
            </w:r>
          </w:p>
        </w:tc>
        <w:tc>
          <w:tcPr>
            <w:tcW w:type="dxa" w:w="720"/>
          </w:tcPr>
          <w:p>
            <w:r>
              <w:t>0.0108</w:t>
            </w:r>
          </w:p>
        </w:tc>
      </w:tr>
    </w:tbl>
    <w:p>
      <w:pPr>
        <w:pStyle w:val="Heading1"/>
      </w:pPr>
      <w:r>
        <w:t>References</w:t>
      </w:r>
    </w:p>
    <w:p>
      <w:r>
        <w:t>[1] Taheri, Babak, Molzahn, Daniel K., Grijalva, Santiago. Improving distribution system resilience by undergrounding lines and deploying mobile generators. Electric Power Systems Research 214(): 108804 (2023). doi:10.1016/j.epsr.2022.108804</w:t>
      </w:r>
    </w:p>
    <w:p>
      <w:r>
        <w:t>[2] Baran, M.E., Wu, F.F.. Network reconfiguration in distribution systems for loss reduction and load balancing. IEEE Transactions on Power Delivery 4(2): 1401-1407 (1989). doi:10.1109/61.25627</w:t>
      </w:r>
    </w:p>
    <w:p>
      <w:r>
        <w:t>[3] Camargo, Vera, Lavorato, Marina, Romero, Ruben. Specialized genetic algorithm to solve the electrical distribution system expansion planning. 2013 IEEE Power &amp; Energy Society General Meeting (): 1-5 (2013). doi:10.1109/PESMG.2013.6672615</w:t>
      </w:r>
    </w:p>
    <w:p>
      <w:r>
        <w:t>[4] Hwang, F. K., Richards, Dana S.. Steiner tree problems. Networks 22(1): 55-89 (1992). doi:10.1002/net.3230220105</w:t>
      </w:r>
    </w:p>
    <w:p>
      <w:r>
        <w:t>[5] Kou, L., Markowsky, G., Berman, L.. A fast algorithm for Steiner trees. Acta Informatica 15(2): 141-145 (1981). doi:10.1007/BF00288961</w:t>
      </w:r>
    </w:p>
    <w:p>
      <w:r>
        <w:t>[6] Tram, H.N., Wall, D.L.. Optimal conductor selection in planning radial distribution systems. IEEE Transactions on Power Systems 3(1): 200-206 (1988). doi:10.1109/59.43199</w:t>
      </w:r>
    </w:p>
    <w:p>
      <w:r>
        <w:t>[7] Baran, M.E., Wu, F.F.. Optimal capacitor placement on radial distribution systems. IEEE Transactions on Power Delivery 4(1):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33(6): 6510-6521 (2018). doi:10.1109/TPWRS.2018.2829021</w:t>
      </w:r>
    </w:p>
    <w:p>
      <w:r>
        <w:t>[10] Haklay, M., Weber, P.. OpenStreetMap: User-Generated Street Maps. IEEE Pervasive Computing 7(4): 12-18 (2008). doi:10.1109/MPRV.2008.80</w:t>
      </w:r>
    </w:p>
    <w:p>
      <w:r>
        <w:t>[11] Tarraq, Ali, Mariami, Faissal El, Belfqih, Abdelaziz, Haidi, Touria. Optimal renewable distributed generation planning: an up-to-date state-of-the-art review. International Journal of Global Energy Issues 45(4/5): 315-348 (2023). doi:10.1504/IJGEI.2023.132011</w:t>
      </w:r>
    </w:p>
    <w:p>
      <w:r>
        <w:t>[12] Ross, R.. Reliability Analysis for Asset Management of Electric Power Grids. Wiley (book)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