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material</w:t>
      </w:r>
    </w:p>
    <w:p>
      <w:r>
        <w:t>Supplementary Figure S1. NPC of S2 vs the secondary rooftop-PV overlay S3 by zone (scenario-based upper bound; does not alter the primary VoF conclusion).</w:t>
      </w:r>
    </w:p>
    <w:p>
      <w:r>
        <w:drawing>
          <wp:inline xmlns:a="http://schemas.openxmlformats.org/drawingml/2006/main" xmlns:pic="http://schemas.openxmlformats.org/drawingml/2006/picture">
            <wp:extent cx="5029200" cy="33203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4_supp_figS1_d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20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Benchmark note. A second public MV benchmark (Iwamoto 11-bus) failed to converge in pandapower 3.5.5 and is excluded from validation statistics; the AC agreement reported in the main text covers all 672 feasible synthesized feeders.</w:t>
      </w:r>
    </w:p>
    <w:p>
      <w:r>
        <w:t>Additional machine-readable tables (cluster-level results, engineering-assumption sensitivity, Monte-Carlo sweep, claim-evidence matrix) are provided as CSV files in the submission package.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