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methods and forensic audit</w:t>
      </w:r>
    </w:p>
    <w:p>
      <w:pPr>
        <w:pStyle w:val="Heading1"/>
      </w:pPr>
      <w:r>
        <w:t>S1. Scope</w:t>
      </w:r>
    </w:p>
    <w:p>
      <w:r>
        <w:t>This supplement documents the correction chain from canonical inputs to the engineering-feasible results. Original files remain byte-preserved under audit/originals and original numerical outputs are quarantined.</w:t>
      </w:r>
    </w:p>
    <w:p>
      <w:pPr>
        <w:pStyle w:val="Heading1"/>
      </w:pPr>
      <w:r>
        <w:t>S2. Voltage root-cause audit</w:t>
      </w:r>
    </w:p>
    <w:p>
      <w:r>
        <w:t># Voltage root-cause audit</w:t>
      </w:r>
    </w:p>
    <w:p>
      <w:r>
        <w:t>## Finding</w:t>
      </w:r>
    </w:p>
    <w:p>
      <w:r>
        <w:t>The quarantined 29.16–37.78% voltage-drop results were caused by **both an</w:t>
        <w:br/>
        <w:t>implementation defect and a structural network-model defect**. They were not a</w:t>
        <w:br/>
        <w:t>valid engineering comparison between feasible alternatives.</w:t>
      </w:r>
    </w:p>
    <w:p>
      <w:r>
        <w:t>## Legacy implementation defects</w:t>
      </w:r>
    </w:p>
    <w:p>
      <w:r>
        <w:t>The legacy evaluator treated every reconstructed road-tree edge as a 415 V</w:t>
        <w:br/>
        <w:t>three-phase LV feeder and calculated:</w:t>
      </w:r>
    </w:p>
    <w:p>
      <w:r>
        <w:t>```text</w:t>
        <w:br/>
        <w:t>I = P / (sqrt(3) V PF)</w:t>
        <w:br/>
        <w:t>delta_V = sqrt(3) I R</w:t>
        <w:br/>
        <w:t>```</w:t>
      </w:r>
    </w:p>
    <w:p>
      <w:r>
        <w:t>This had the following consequences.</w:t>
      </w:r>
    </w:p>
    <w:p>
      <w:r>
        <w:t>1. Reactive power and cable reactance were omitted from voltage drop.</w:t>
        <w:br/>
        <w:t>2. The 415 V base was inconsistent with the Japanese 100/200 V customer</w:t>
        <w:br/>
        <w:t xml:space="preserve">   service convention and with a 6.6 kV primary distribution route.</w:t>
        <w:br/>
        <w:t>3. No source/transformer voltage transformation was represented.</w:t>
        <w:br/>
        <w:t>4. No transformer loading, transformer loss or transformer impedance was</w:t>
        <w:br/>
        <w:t xml:space="preserve">   represented.</w:t>
        <w:br/>
        <w:t>5. No cable ampacity, voltage, radiality, connectivity or power-balance gate</w:t>
        <w:br/>
        <w:t xml:space="preserve">   could reject an infeasible candidate.</w:t>
        <w:br/>
        <w:t>6. Loss energy used load factor directly rather than a declared loss factor.</w:t>
        <w:br/>
        <w:t>7. Node identifiers were inconsistently converted between integer-like and</w:t>
        <w:br/>
        <w:t xml:space="preserve">   floating-point strings.</w:t>
      </w:r>
    </w:p>
    <w:p>
      <w:r>
        <w:t>## Structural defects</w:t>
      </w:r>
    </w:p>
    <w:p>
      <w:r>
        <w:t>The implementation defects were compounded by a structural error: each</w:t>
        <w:br/>
        <w:t>approximately 350 kW demand cluster was effectively supplied as one aggregated</w:t>
        <w:br/>
        <w:t>LV service area. Some individual modeled nodes exceeded 1 MW. The model had no</w:t>
        <w:br/>
        <w:t>explicit transformer placement or capacity, no MV primary layer, no LV service</w:t>
        <w:br/>
        <w:t>radius, and no mechanism for parallel transformer units. Comparing two</w:t>
        <w:br/>
        <w:t>alternatives under the same infeasible representation did not establish</w:t>
        <w:br/>
        <w:t>engineering feasibility.</w:t>
      </w:r>
    </w:p>
    <w:p>
      <w:r>
        <w:t>Global Euclidean clustering also mixed demand nodes from disconnected road</w:t>
        <w:br/>
        <w:t>components. The reconstruction script then retained only a connected subset,</w:t>
        <w:br/>
        <w:t>silently excluding demand from some scenario totals.</w:t>
      </w:r>
    </w:p>
    <w:p>
      <w:r>
        <w:t>## Corrective model</w:t>
      </w:r>
    </w:p>
    <w:p>
      <w:r>
        <w:t>The corrected model freezes and enforces the following hierarchy.</w:t>
      </w:r>
    </w:p>
    <w:p>
      <w:r>
        <w:t>- Road-network distribution edges are balanced three-phase 6.6 kV MV primary</w:t>
        <w:br/>
        <w:t xml:space="preserve">  feeders.</w:t>
        <w:br/>
        <w:t>- Every road-snapped demand node is an explicit transformer site.</w:t>
        <w:br/>
        <w:t>- Demand at a site is split across parallel catalogued transformer units with</w:t>
        <w:br/>
        <w:t xml:space="preserve">  at most 60 kW per unit and at most 80% design loading.</w:t>
        <w:br/>
        <w:t>- Every unit includes a 25 m equivalent 210 V three-phase LV service stub.</w:t>
        <w:br/>
        <w:t xml:space="preserve">  This is a declared assumption because customer-side LV geometry is not</w:t>
        <w:br/>
        <w:t xml:space="preserve">  observed; it is common to S1 and S2 rather than used to manufacture a</w:t>
        <w:br/>
        <w:t xml:space="preserve">  topology advantage.</w:t>
        <w:br/>
        <w:t>- Cable resistance, derived reactance, derated ampacity, active and reactive</w:t>
        <w:br/>
        <w:t xml:space="preserve">  power, transformer drop, transformer loss and source voltage are explicit.</w:t>
        <w:br/>
        <w:t>- Connectedness, radiality, complete demand service, power balance, ampacity,</w:t>
        <w:br/>
        <w:t xml:space="preserve">  MV drop, transformer drop, LV drop and customer voltage are hard gates.</w:t>
        <w:br/>
        <w:t>- Violations are repaired only through transformer splitting or conductor</w:t>
        <w:br/>
        <w:t xml:space="preserve">  sizing. Voltages are not clipped; limits are not relaxed; infeasible</w:t>
        <w:br/>
        <w:t xml:space="preserve">  candidates cannot enter the headline estimate.</w:t>
        <w:br/>
        <w:t>- Clustering is performed separately inside each connected road component.</w:t>
        <w:br/>
        <w:t xml:space="preserve">  Singleton clusters are retained.</w:t>
      </w:r>
    </w:p>
    <w:p>
      <w:r>
        <w:t>Cable and transformer parameters are parsed from the archived Fujikura and</w:t>
        <w:br/>
        <w:t>Toshiba catalogues. The complete frozen specification is</w:t>
        <w:br/>
        <w:t>`ENGINEERING_FEASIBILITY_SPEC.yaml`.</w:t>
      </w:r>
    </w:p>
    <w:p>
      <w:r>
        <w:t>## Quantitative resolution</w:t>
      </w:r>
    </w:p>
    <w:p>
      <w:r>
        <w:t>| Municipality | Legacy maximum drop | Corrected maximum MV drop | Corrected minimum customer voltage |</w:t>
        <w:br/>
        <w:t>| --- | ---: | ---: | ---: |</w:t>
        <w:br/>
        <w:t>| Sano | 29.16% | 0.321% | 0.9698 pu |</w:t>
        <w:br/>
        <w:t>| Kudamatsu | 31.12% | 0.581% | 0.9679 pu |</w:t>
        <w:br/>
        <w:t>| Yasu | 37.78% | 0.423% | 0.9710 pu |</w:t>
      </w:r>
    </w:p>
    <w:p>
      <w:r>
        <w:t>All headline S1 and S2 networks are feasible under the frozen gates. Total</w:t>
        <w:br/>
        <w:t>modeled demand remains 51.477 MW, 17.241 MW and 20.013 MW, respectively.</w:t>
      </w:r>
    </w:p>
    <w:p>
      <w:r>
        <w:t>The correction materially changes the scientific interpretation:</w:t>
      </w:r>
    </w:p>
    <w:p>
      <w:r>
        <w:t>- S1–S2 NPC savings remain positive, but corrected percentages are 4.17%,</w:t>
        <w:br/>
        <w:t xml:space="preserve">  6.14% and 5.02%, rather than 12.20%, 2.54% and 11.72%.</w:t>
        <w:br/>
        <w:t>- Shapley decomposition shows that most corrected savings arise from</w:t>
        <w:br/>
        <w:t xml:space="preserve">  conductor sizing, not route topology: approximately JPY 959 million of JPY</w:t>
        <w:br/>
        <w:t xml:space="preserve">  1,011 million in Sano, JPY 798 million of JPY 866 million in Kudamatsu, and</w:t>
        <w:br/>
        <w:t xml:space="preserve">  JPY 463 million of JPY 533 million in Yasu.</w:t>
        <w:br/>
        <w:t>- Corrected best-NPC designs have higher, not lower, peak loss than S1 because</w:t>
        <w:br/>
        <w:t xml:space="preserve">  the economic optimum selects smaller conductors that remain within voltage</w:t>
        <w:br/>
        <w:t xml:space="preserve">  and ampacity gates. The original 60–65% peak-loss-reduction claim therefore</w:t>
        <w:br/>
        <w:t xml:space="preserve">  does not survive.</w:t>
        <w:br/>
        <w:t>- The edge-set distance is small and is not a likelihood. It is renamed</w:t>
        <w:br/>
        <w:t xml:space="preserve">  `edge_set_divergence`.</w:t>
      </w:r>
    </w:p>
    <w:p>
      <w:r>
        <w:t>## Benchmark disposition</w:t>
      </w:r>
    </w:p>
    <w:p>
      <w:r>
        <w:t>The corrected radial P/Q line model was compared feeder-by-feeder with AC power</w:t>
        <w:br/>
        <w:t>flow on the CIGRE LV benchmark. Minimum-voltage error is 0.00134–0.00256 pu and</w:t>
        <w:br/>
        <w:t>line-loss error is 6.49–7.41%; all feeders pass the predeclared 0.003 pu and</w:t>
        <w:br/>
        <w:t>10% tolerances. Newton-Raphson, backward/forward sweep and Iwamoto</w:t>
        <w:br/>
        <w:t>Newton-Raphson agree quantitatively on the AC reference.</w:t>
      </w:r>
    </w:p>
    <w:p>
      <w:r>
        <w:t>`case11_iwamoto` does not converge under any of those algorithms in the pinned</w:t>
        <w:br/>
        <w:t>environment. It is a generic 1 kV stress case, not a documented 6.6 kV Japanese</w:t>
        <w:br/>
        <w:t>distribution-design benchmark for this study, and is removed from the main</w:t>
        <w:br/>
        <w:t>validation claim.</w:t>
      </w:r>
    </w:p>
    <w:p>
      <w:r>
        <w:t>## Remaining limitations</w:t>
      </w:r>
    </w:p>
    <w:p>
      <w:r>
        <w:t>The correction establishes internal engineering feasibility for the modeled</w:t>
        <w:br/>
        <w:t>hierarchy; it does not turn reconstructed networks into observed utility</w:t>
        <w:br/>
        <w:t>networks. Transformer locations, 25 m LV service stubs, coincidence, load</w:t>
        <w:br/>
        <w:t>factor and costs remain modeled assumptions requiring sensitivity analysis.</w:t>
        <w:br/>
        <w:t>S2 remains the best feasible design found in a declared heuristic candidate</w:t>
        <w:br/>
        <w:t>family, without a certified global optimality gap.</w:t>
      </w:r>
    </w:p>
    <w:p>
      <w:pPr>
        <w:pStyle w:val="Heading1"/>
      </w:pPr>
      <w:r>
        <w:t>S3. Benchmark validation</w:t>
      </w:r>
    </w:p>
    <w:p>
      <w:r>
        <w:t># Benchmark validation report</w:t>
      </w:r>
    </w:p>
    <w:p>
      <w:r>
        <w:t>## Benchmark and environment</w:t>
      </w:r>
    </w:p>
    <w:p>
      <w:r>
        <w:t>- Benchmark: CIGRE Task Force C6.04.02 European low-voltage network as</w:t>
        <w:br/>
        <w:t xml:space="preserve">  implemented by `pandapower.networks.create_cigre_network_lv`.</w:t>
        <w:br/>
        <w:t>- pandapower version: 3.5.5.</w:t>
        <w:br/>
        <w:t>- Reference calculation: Newton-Raphson AC power flow with tolerance</w:t>
        <w:br/>
        <w:t xml:space="preserve">  \(10^{-10}\) MVA.</w:t>
        <w:br/>
        <w:t>- Independent AC checks: backward/forward sweep and Iwamoto Newton-Raphson.</w:t>
        <w:br/>
        <w:t>- Radial-model tolerances fixed before inspection: absolute minimum-voltage</w:t>
        <w:br/>
        <w:t xml:space="preserve">  error &lt;= 0.003 pu and relative line-loss error &lt;=</w:t>
        <w:br/>
        <w:t xml:space="preserve">  10%.</w:t>
      </w:r>
    </w:p>
    <w:p>
      <w:r>
        <w:t>## AC solver agreement</w:t>
      </w:r>
    </w:p>
    <w:p>
      <w:r>
        <w:t>| algorithm | converged | vm_pu_min | vm_pu_max | line_loss_mw | transformer_loss_mw | ext_grid_p_mw | ext_grid_q_mvar | max_line_current_ka | max_transformer_loading_pct | validated |</w:t>
        <w:br/>
        <w:t>| --- | --- | --- | --- | --- | --- | --- | --- | --- | --- | --- |</w:t>
        <w:br/>
        <w:t>| nr | True | 0.91226896 | 1 | 0.021821754 | 0.0065074665 | 0.71492922 | 0.31876011 | 0.31716218 | 85.25464 | True |</w:t>
        <w:br/>
        <w:t>| bfsw | True | 0.91226896 | 1 | 0.021821753 | 0.0065074665 | 0.71492922 | 0.31876011 | 0.31716218 | 85.25464 | True |</w:t>
        <w:br/>
        <w:t>| iwamoto_nr | True | 0.91226896 | 1 | 0.021821754 | 0.0065074665 | 0.71492922 | 0.31876011 | 0.31716218 | 85.25464 | True |</w:t>
      </w:r>
    </w:p>
    <w:p>
      <w:r>
        <w:t>All three AC algorithms agree within 1e-07 pu for minimum</w:t>
        <w:br/>
        <w:t>voltage and 1e-07 MW for line loss.</w:t>
      </w:r>
    </w:p>
    <w:p>
      <w:r>
        <w:t>## Corrected radial P/Q model versus AC power flow</w:t>
      </w:r>
    </w:p>
    <w:p>
      <w:r>
        <w:t>The comparison starts each radial LV feeder at the AC-calculated transformer</w:t>
        <w:br/>
        <w:t>secondary voltage so that it isolates the line model from transformer-model</w:t>
        <w:br/>
        <w:t>differences. It uses the benchmark's exact per-edge resistance, reactance,</w:t>
        <w:br/>
        <w:t>active load and reactive load; no voltage clipping is applied.</w:t>
      </w:r>
    </w:p>
    <w:p>
      <w:r>
        <w:t>| source_name | p_load_kw | q_load_kvar | ac_min_voltage_pu | linear_min_voltage_pu | voltage_abs_error_pu | ac_line_loss_kw | linear_line_loss_kw | loss_relative_error | validated |</w:t>
        <w:br/>
        <w:t>| --- | --- | --- | --- | --- | --- | --- | --- | --- | --- |</w:t>
        <w:br/>
        <w:t>| Bus R1 | 383.8 | 126.14896 | 0.91689555 | 0.91916946 | 0.0022739052 | 10.785211 | 10.085726 | 0.064855983 | True |</w:t>
        <w:br/>
        <w:t>| Bus I1 | 85 | 52.678269 | 0.94345834 | 0.94479432 | 0.001335979 | 3.717222 | 3.4518291 | 0.071395497 | True |</w:t>
        <w:br/>
        <w:t>| Bus C1 | 217.8 | 105.48535 | 0.91226896 | 0.91482589 | 0.0025569257 | 7.3193201 | 6.7767609 | 0.074126993 | True |</w:t>
      </w:r>
    </w:p>
    <w:p>
      <w:r>
        <w:t>All three feeders satisfy the declared tolerances. The corrected radial model</w:t>
        <w:br/>
        <w:t>is therefore quantitatively validated for its stated screening role. The</w:t>
        <w:br/>
        <w:t>CIGRE network itself reaches 0.9123 pu; convergence is not</w:t>
        <w:br/>
        <w:t>misrepresented as compliance with this study's planning voltage gate.</w:t>
      </w:r>
    </w:p>
    <w:p>
      <w:r>
        <w:t>## Iwamoto 11-bus diagnosis</w:t>
      </w:r>
    </w:p>
    <w:p>
      <w:r>
        <w:t>| algorithm | converged | vm_pu_min |</w:t>
        <w:br/>
        <w:t>| --- | --- | --- |</w:t>
        <w:br/>
        <w:t>| nr | False | nan |</w:t>
        <w:br/>
        <w:t>| bfsw | False | nan |</w:t>
        <w:br/>
        <w:t>| iwamoto_nr | False | nan |</w:t>
      </w:r>
    </w:p>
    <w:p>
      <w:r>
        <w:t>The packaged `case11_iwamoto` does not converge with Newton-Raphson,</w:t>
        <w:br/>
        <w:t>backward/forward sweep, or Iwamoto Newton-Raphson under the pinned environment.</w:t>
        <w:br/>
        <w:t>It is a difficult generic power-flow stress case with a 1 kV base, not a</w:t>
        <w:br/>
        <w:t>documented Japanese 6.6 kV distribution-design reference for the present</w:t>
        <w:br/>
        <w:t>model. It is retained as a diagnosed negative control and removed from the</w:t>
        <w:br/>
        <w:t>paper's validation claim.</w:t>
      </w:r>
    </w:p>
    <w:p>
      <w:pPr>
        <w:pStyle w:val="Heading1"/>
      </w:pPr>
      <w:r>
        <w:t>S4. Machine-readable supporting tables</w:t>
      </w:r>
    </w:p>
    <w:p>
      <w:r>
        <w:t>ORIGINAL_VS_CORRECTED_RESULTS.csv</w:t>
      </w:r>
    </w:p>
    <w:p>
      <w:r>
        <w:t>MUNICIPAL_DATA_PROVENANCE_AUDIT.csv</w:t>
      </w:r>
    </w:p>
    <w:p>
      <w:r>
        <w:t>COST_PARAMETER_PROVENANCE.csv</w:t>
      </w:r>
    </w:p>
    <w:p>
      <w:r>
        <w:t>RAW_DATA_ACQUISITION_REGISTRY.csv</w:t>
      </w:r>
    </w:p>
    <w:p>
      <w:r>
        <w:t>analysis/reconstruction_convergence.csv</w:t>
      </w:r>
    </w:p>
    <w:p>
      <w:r>
        <w:t>analysis/benchmark_radial_comparison.csv</w:t>
      </w:r>
    </w:p>
    <w:p>
      <w:r>
        <w:t>analysis/ablation_decomposition.csv</w:t>
      </w:r>
    </w:p>
    <w:p>
      <w:r>
        <w:t>analysis/sensitivity_mc.csv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