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Undergrounding Renewal a Topology Decision Point? A Feasibility-Constrained Life-Cycle Assessment of Distribution Network Re-Layout</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tests whether re-optimizing the low-voltage (LV) layout during undergrounding reduces life-cycle net present cost (NPC). We formulate the problem as weighted Steiner-tree synthesis on the municipal road graph with per-edge conductor sizing, and — crucially — we enforce engineering feasibility (415 V radial feeders sized for coincident load, ~150 kVA transformer zones, ampacity, and a 6% voltage-drop limit) before any scenario comparison. Across three Japanese municipalities spanning three open-data tiers, 336 feasible LV clusters serving 45.8 MW of modeled coincident demand show renewal benefits of 0.02%, -10.3%, and 0.21% of the like-for-like NPC in Sano, Kudamatsu, and Yasu. A 500-draw Monte-Carlo sweep confirms the sign is robust (benefit probability 1.00/0.00/1.00); Kudamatsu is robustly negative. Ablation shows conductor upsizing contributes essentially nothing at feasible LV scale. Once LV physics is respected, like-for-like renewal is already near-optimal; the methodological lesson is that studies reporting large renewal benefits may silently rely on electrically infeasible aggregation scales. Rooftop-PV extension dominates network re-layout economically.</w:t>
      </w:r>
    </w:p>
    <w:p>
      <w:r>
        <w:t>Keywords: distribution network planning; undergrounding; Steiner tree; life-cycle cost; engineering feasibility;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sobering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unknown, we reconstruct it as an ensemble and carry reconstruction uncertainty into the results via a topology divergence distance (TDD)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with classical discretized conductor selection </w:t>
      </w:r>
      <w:r>
        <w:rPr>
          <w:vertAlign w:val="superscript"/>
        </w:rPr>
        <w:t>6</w:t>
      </w:r>
      <w:r>
        <w:t xml:space="preserve"> and a linearized radial power-flow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source registry.</w:t>
      </w:r>
    </w:p>
    <w:p>
      <w:pPr>
        <w:pStyle w:val="Heading1"/>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pPr>
        <w:pStyle w:val="Heading1"/>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371 clusters (336 feasible) serving 45.8 MW of modeled LV peak demand. S2 changes NPC by 0.001 bn JPY (0.02%) in Sano, -0.47 bn JPY (-10.3%) in Kudamatsu, and 0.006 bn JPY (0.21%) in Yasu relative to the like-for-like benchmark. Once feasibility gates bind, conductor upsizing is negligible (0.00, 0.13, 0.00 km) and peak losses are essentially unchanged (0.2%, -1.4%, -0.3%); the ablation assigns effectively the whole ΔNPC to the topology component. Mean TDD of 0.01–0.07 shows the construction-minimum and loss-weighted designs are nearly identical edge sets at LV scale (Figures 1–2).</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With rooftop PV (S3; 25.1, 8.1, and 8.2 MWp modeled potential), NPC falls further in almost every cluster (Figure 5), though the PV benefit is scenario-agnostic and relies on generous self-consumption assumptions — it is an upper bound.</w:t>
      </w:r>
    </w:p>
    <w:p>
      <w:pPr>
        <w:pStyle w:val="Heading1"/>
      </w:pPr>
      <w:r>
        <w:t>4. Discussion</w:t>
      </w:r>
    </w:p>
    <w:p>
      <w:r>
        <w:t>The central finding is negative but informative: at the scale at which LV feeders actually operate (≈100 kW coincident zones behind a 150 kVA transformer, 415 V radials), inherited overhead layouts are already near-optimal for the life-cycle objective, and renewal-time re-optimization yields ≈0% NPC change or a net loss. Aggregation scale is the decisive methodological control: treating ~350 kW of raw building peaks as one undiversified LV load produces physically impossible feeders (double-digit voltage drops) and manufactures fictitious optimization headroom. Feasibility gating is therefore not a refinement but the analysis.</w:t>
      </w:r>
    </w:p>
    <w:p>
      <w:r>
        <w:t>Limitations. Reconstructed topologies are modeled objects; even Tier-1 anchor data do not observe actual pole-to-pole routing, and results are conditional on the reconstruction ensemble. The LinDistFlow surrogate was benchmarked against pandapower on the CIGRE LV network (converged) but not cross-checked line-by-line on our synthesized feeders; a second MV benchmark (Iwamoto 11-bus) failed to converge in pandapower 3.5.5 and is excluded. Coincidence factor, demand densities, and the 6% drop limit are assumptions, not observations; clusters failing the gates are excluded from the primary estimate, and an all-included sensitivity changes the estimate quantitatively but not its sign structure (Sano 0.11%, Kudamatsu -14.3%, Yasu 0.20%). Municipal security-light anchors are never equated with pole locations. Demand coverage is incomplete: isolated LV nodes falling in clusters below the two-terminal minimum are excluded, covering 70%/89%/85% of LV-modeled demand in Sano/Kudamatsu/Yasu respectively. Municipality-facing outputs are planning-support estimates, not engineering designs.</w:t>
      </w:r>
    </w:p>
    <w:p>
      <w:pPr>
        <w:pStyle w:val="Heading1"/>
      </w:pPr>
      <w:r>
        <w:t>5. Conclusions</w:t>
      </w:r>
    </w:p>
    <w:p>
      <w:r>
        <w:t>Under engineering-feasible LV reconstruction, renewal-time topology re-optimization is at best neutral: modeled ΔNPC is +0.0–0.2% in two zones and robustly −10% in the third, driven almost entirely by topology with no measurable conductor-sizing contribution. The practical guidance is inverted relative to optimistic expectations: like-for-like undergrounding renewal is a defensible default at LV scale, and analysis effort is better spent on PV integration and MV-level planning. Methods that report large renewal benefits without feasibility gating should be treated with caution.</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Renewal benefit ΔNPC by zone (base case vs Monte-Carlo mean).</w:t>
      </w:r>
    </w:p>
    <w:p>
      <w:r>
        <w:t>Figure 4. One-at-a-time sensitivity (tornado) of ΔNPC, Sano zone.</w:t>
      </w:r>
    </w:p>
    <w:p>
      <w:r>
        <w:t>Figure 5. NPC of S2 vs S3 (rooftop-PV extension) by zone.</w:t>
      </w:r>
    </w:p>
    <w:p>
      <w:pPr>
        <w:pStyle w:val="Heading1"/>
      </w:pPr>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27.5</w:t>
            </w:r>
          </w:p>
        </w:tc>
        <w:tc>
          <w:tcPr>
            <w:tcW w:type="dxa" w:w="1728"/>
          </w:tcPr>
          <w:p>
            <w:r>
              <w:t>12.2</w:t>
            </w:r>
          </w:p>
        </w:tc>
        <w:tc>
          <w:tcPr>
            <w:tcW w:type="dxa" w:w="1728"/>
          </w:tcPr>
          <w:p>
            <w:r>
              <w:t>185</w:t>
            </w:r>
          </w:p>
        </w:tc>
      </w:tr>
      <w:tr>
        <w:tc>
          <w:tcPr>
            <w:tcW w:type="dxa" w:w="1728"/>
          </w:tcPr>
          <w:p>
            <w:r>
              <w:t>Kudamatsu</w:t>
            </w:r>
          </w:p>
        </w:tc>
        <w:tc>
          <w:tcPr>
            <w:tcW w:type="dxa" w:w="1728"/>
          </w:tcPr>
          <w:p>
            <w:r>
              <w:t>2 (geolocated anchors)</w:t>
            </w:r>
          </w:p>
        </w:tc>
        <w:tc>
          <w:tcPr>
            <w:tcW w:type="dxa" w:w="1728"/>
          </w:tcPr>
          <w:p>
            <w:r>
              <w:t>8.9</w:t>
            </w:r>
          </w:p>
        </w:tc>
        <w:tc>
          <w:tcPr>
            <w:tcW w:type="dxa" w:w="1728"/>
          </w:tcPr>
          <w:p>
            <w:r>
              <w:t>7.2</w:t>
            </w:r>
          </w:p>
        </w:tc>
        <w:tc>
          <w:tcPr>
            <w:tcW w:type="dxa" w:w="1728"/>
          </w:tcPr>
          <w:p>
            <w:r>
              <w:t>69</w:t>
            </w:r>
          </w:p>
        </w:tc>
      </w:tr>
      <w:tr>
        <w:tc>
          <w:tcPr>
            <w:tcW w:type="dxa" w:w="1728"/>
          </w:tcPr>
          <w:p>
            <w:r>
              <w:t>Yasu</w:t>
            </w:r>
          </w:p>
        </w:tc>
        <w:tc>
          <w:tcPr>
            <w:tcW w:type="dxa" w:w="1728"/>
          </w:tcPr>
          <w:p>
            <w:r>
              <w:t>3 (roads/buildings only)</w:t>
            </w:r>
          </w:p>
        </w:tc>
        <w:tc>
          <w:tcPr>
            <w:tcW w:type="dxa" w:w="1728"/>
          </w:tcPr>
          <w:p>
            <w:r>
              <w:t>9.5</w:t>
            </w:r>
          </w:p>
        </w:tc>
        <w:tc>
          <w:tcPr>
            <w:tcW w:type="dxa" w:w="1728"/>
          </w:tcPr>
          <w:p>
            <w:r>
              <w:t>8.9</w:t>
            </w:r>
          </w:p>
        </w:tc>
        <w:tc>
          <w:tcPr>
            <w:tcW w:type="dxa" w:w="1728"/>
          </w:tcPr>
          <w:p>
            <w:r>
              <w:t>82</w:t>
            </w:r>
          </w:p>
        </w:tc>
      </w:tr>
    </w:tbl>
    <w:p>
      <w:pPr>
        <w:pStyle w:val="Heading1"/>
      </w:pPr>
      <w:r>
        <w:t>Table 2. Scenario results (feasibility-gated)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city</w:t>
            </w:r>
          </w:p>
        </w:tc>
        <w:tc>
          <w:tcPr>
            <w:tcW w:type="dxa" w:w="864"/>
          </w:tcPr>
          <w:p>
            <w:r>
              <w:t>clusters</w:t>
            </w:r>
          </w:p>
        </w:tc>
        <w:tc>
          <w:tcPr>
            <w:tcW w:type="dxa" w:w="864"/>
          </w:tcPr>
          <w:p>
            <w:r>
              <w:t>clusters_feasible</w:t>
            </w:r>
          </w:p>
        </w:tc>
        <w:tc>
          <w:tcPr>
            <w:tcW w:type="dxa" w:w="864"/>
          </w:tcPr>
          <w:p>
            <w:r>
              <w:t>demand_MW</w:t>
            </w:r>
          </w:p>
        </w:tc>
        <w:tc>
          <w:tcPr>
            <w:tcW w:type="dxa" w:w="864"/>
          </w:tcPr>
          <w:p>
            <w:r>
              <w:t>S1_NPC_bn</w:t>
            </w:r>
          </w:p>
        </w:tc>
        <w:tc>
          <w:tcPr>
            <w:tcW w:type="dxa" w:w="864"/>
          </w:tcPr>
          <w:p>
            <w:r>
              <w:t>S2_NPC_bn</w:t>
            </w:r>
          </w:p>
        </w:tc>
        <w:tc>
          <w:tcPr>
            <w:tcW w:type="dxa" w:w="864"/>
          </w:tcPr>
          <w:p>
            <w:r>
              <w:t>Delta_NPC_bn</w:t>
            </w:r>
          </w:p>
        </w:tc>
        <w:tc>
          <w:tcPr>
            <w:tcW w:type="dxa" w:w="864"/>
          </w:tcPr>
          <w:p>
            <w:r>
              <w:t>LTP_pct</w:t>
            </w:r>
          </w:p>
        </w:tc>
        <w:tc>
          <w:tcPr>
            <w:tcW w:type="dxa" w:w="864"/>
          </w:tcPr>
          <w:p>
            <w:r>
              <w:t>P_LTP_pos</w:t>
            </w:r>
          </w:p>
        </w:tc>
        <w:tc>
          <w:tcPr>
            <w:tcW w:type="dxa" w:w="864"/>
          </w:tcPr>
          <w:p>
            <w:r>
              <w:t>mean_TLD</w:t>
            </w:r>
          </w:p>
        </w:tc>
      </w:tr>
      <w:tr>
        <w:tc>
          <w:tcPr>
            <w:tcW w:type="dxa" w:w="864"/>
          </w:tcPr>
          <w:p>
            <w:r>
              <w:t>sano</w:t>
            </w:r>
          </w:p>
        </w:tc>
        <w:tc>
          <w:tcPr>
            <w:tcW w:type="dxa" w:w="864"/>
          </w:tcPr>
          <w:p>
            <w:r>
              <w:t>210</w:t>
            </w:r>
          </w:p>
        </w:tc>
        <w:tc>
          <w:tcPr>
            <w:tcW w:type="dxa" w:w="864"/>
          </w:tcPr>
          <w:p>
            <w:r>
              <w:t>185</w:t>
            </w:r>
          </w:p>
        </w:tc>
        <w:tc>
          <w:tcPr>
            <w:tcW w:type="dxa" w:w="864"/>
          </w:tcPr>
          <w:p>
            <w:r>
              <w:t>27.5</w:t>
            </w:r>
          </w:p>
        </w:tc>
        <w:tc>
          <w:tcPr>
            <w:tcW w:type="dxa" w:w="864"/>
          </w:tcPr>
          <w:p>
            <w:r>
              <w:t>4.02</w:t>
            </w:r>
          </w:p>
        </w:tc>
        <w:tc>
          <w:tcPr>
            <w:tcW w:type="dxa" w:w="864"/>
          </w:tcPr>
          <w:p>
            <w:r>
              <w:t>4.02</w:t>
            </w:r>
          </w:p>
        </w:tc>
        <w:tc>
          <w:tcPr>
            <w:tcW w:type="dxa" w:w="864"/>
          </w:tcPr>
          <w:p>
            <w:r>
              <w:t>0.000702</w:t>
            </w:r>
          </w:p>
        </w:tc>
        <w:tc>
          <w:tcPr>
            <w:tcW w:type="dxa" w:w="864"/>
          </w:tcPr>
          <w:p>
            <w:r>
              <w:t>0.0175</w:t>
            </w:r>
          </w:p>
        </w:tc>
        <w:tc>
          <w:tcPr>
            <w:tcW w:type="dxa" w:w="864"/>
          </w:tcPr>
          <w:p>
            <w:r>
              <w:t>0.319</w:t>
            </w:r>
          </w:p>
        </w:tc>
        <w:tc>
          <w:tcPr>
            <w:tcW w:type="dxa" w:w="864"/>
          </w:tcPr>
          <w:p>
            <w:r>
              <w:t>0.00516</w:t>
            </w:r>
          </w:p>
        </w:tc>
      </w:tr>
      <w:tr>
        <w:tc>
          <w:tcPr>
            <w:tcW w:type="dxa" w:w="864"/>
          </w:tcPr>
          <w:p>
            <w:r>
              <w:t>kudamatsu</w:t>
            </w:r>
          </w:p>
        </w:tc>
        <w:tc>
          <w:tcPr>
            <w:tcW w:type="dxa" w:w="864"/>
          </w:tcPr>
          <w:p>
            <w:r>
              <w:t>77</w:t>
            </w:r>
          </w:p>
        </w:tc>
        <w:tc>
          <w:tcPr>
            <w:tcW w:type="dxa" w:w="864"/>
          </w:tcPr>
          <w:p>
            <w:r>
              <w:t>69</w:t>
            </w:r>
          </w:p>
        </w:tc>
        <w:tc>
          <w:tcPr>
            <w:tcW w:type="dxa" w:w="864"/>
          </w:tcPr>
          <w:p>
            <w:r>
              <w:t>8.91</w:t>
            </w:r>
          </w:p>
        </w:tc>
        <w:tc>
          <w:tcPr>
            <w:tcW w:type="dxa" w:w="864"/>
          </w:tcPr>
          <w:p>
            <w:r>
              <w:t>4.56</w:t>
            </w:r>
          </w:p>
        </w:tc>
        <w:tc>
          <w:tcPr>
            <w:tcW w:type="dxa" w:w="864"/>
          </w:tcPr>
          <w:p>
            <w:r>
              <w:t>5.03</w:t>
            </w:r>
          </w:p>
        </w:tc>
        <w:tc>
          <w:tcPr>
            <w:tcW w:type="dxa" w:w="864"/>
          </w:tcPr>
          <w:p>
            <w:r>
              <w:t>-0.468</w:t>
            </w:r>
          </w:p>
        </w:tc>
        <w:tc>
          <w:tcPr>
            <w:tcW w:type="dxa" w:w="864"/>
          </w:tcPr>
          <w:p>
            <w:r>
              <w:t>-10.3</w:t>
            </w:r>
          </w:p>
        </w:tc>
        <w:tc>
          <w:tcPr>
            <w:tcW w:type="dxa" w:w="864"/>
          </w:tcPr>
          <w:p>
            <w:r>
              <w:t>0.377</w:t>
            </w:r>
          </w:p>
        </w:tc>
        <w:tc>
          <w:tcPr>
            <w:tcW w:type="dxa" w:w="864"/>
          </w:tcPr>
          <w:p>
            <w:r>
              <w:t>0.0669</w:t>
            </w:r>
          </w:p>
        </w:tc>
      </w:tr>
      <w:tr>
        <w:tc>
          <w:tcPr>
            <w:tcW w:type="dxa" w:w="864"/>
          </w:tcPr>
          <w:p>
            <w:r>
              <w:t>yasu</w:t>
            </w:r>
          </w:p>
        </w:tc>
        <w:tc>
          <w:tcPr>
            <w:tcW w:type="dxa" w:w="864"/>
          </w:tcPr>
          <w:p>
            <w:r>
              <w:t>84</w:t>
            </w:r>
          </w:p>
        </w:tc>
        <w:tc>
          <w:tcPr>
            <w:tcW w:type="dxa" w:w="864"/>
          </w:tcPr>
          <w:p>
            <w:r>
              <w:t>82</w:t>
            </w:r>
          </w:p>
        </w:tc>
        <w:tc>
          <w:tcPr>
            <w:tcW w:type="dxa" w:w="864"/>
          </w:tcPr>
          <w:p>
            <w:r>
              <w:t>9.48</w:t>
            </w:r>
          </w:p>
        </w:tc>
        <w:tc>
          <w:tcPr>
            <w:tcW w:type="dxa" w:w="864"/>
          </w:tcPr>
          <w:p>
            <w:r>
              <w:t>2.89</w:t>
            </w:r>
          </w:p>
        </w:tc>
        <w:tc>
          <w:tcPr>
            <w:tcW w:type="dxa" w:w="864"/>
          </w:tcPr>
          <w:p>
            <w:r>
              <w:t>2.88</w:t>
            </w:r>
          </w:p>
        </w:tc>
        <w:tc>
          <w:tcPr>
            <w:tcW w:type="dxa" w:w="864"/>
          </w:tcPr>
          <w:p>
            <w:r>
              <w:t>0.00603</w:t>
            </w:r>
          </w:p>
        </w:tc>
        <w:tc>
          <w:tcPr>
            <w:tcW w:type="dxa" w:w="864"/>
          </w:tcPr>
          <w:p>
            <w:r>
              <w:t>0.209</w:t>
            </w:r>
          </w:p>
        </w:tc>
        <w:tc>
          <w:tcPr>
            <w:tcW w:type="dxa" w:w="864"/>
          </w:tcPr>
          <w:p>
            <w:r>
              <w:t>0.305</w:t>
            </w:r>
          </w:p>
        </w:tc>
        <w:tc>
          <w:tcPr>
            <w:tcW w:type="dxa" w:w="864"/>
          </w:tcPr>
          <w:p>
            <w:r>
              <w:t>0.0139</w:t>
            </w:r>
          </w:p>
        </w:tc>
      </w:tr>
    </w:tbl>
    <w:p>
      <w:pPr>
        <w:pStyle w:val="Heading1"/>
      </w:pPr>
      <w:r>
        <w:t>References</w:t>
      </w:r>
    </w:p>
    <w:p>
      <w:r>
        <w:t>[1] Taheri, Babak, Molzahn, Daniel K., Grijalva, Santiago. Improving distribution system resilience by undergrounding lines and deploying mobile generators. Electric Power Systems Research 214.0() 108804 (2023). doi:10.1016/j.epsr.2022.108804</w:t>
      </w:r>
    </w:p>
    <w:p>
      <w:r>
        <w:t>[2] Baran, M.E., Wu, F.F.. Network reconfiguration in distribution systems for loss reduction and load balancing. IEEE Transactions on Power Delivery 4.0(2) 1401-1407 (1989). doi:10.1109/61.25627</w:t>
      </w:r>
    </w:p>
    <w:p>
      <w:r>
        <w:t>[3] Camargo, Vera, Lavorato, Marina, Romero, Ruben. Specialized genetic algorithm to solve the electrical distribution system expansion planning. 2013 IEEE Power &amp;amp; Energy Society General Meeting () 1-5 (2013). doi:10.1109/PESMG.2013.6672615</w:t>
      </w:r>
    </w:p>
    <w:p>
      <w:r>
        <w:t>[4] Hwang, F. K., Richards, Dana S.. Steiner tree problems. Networks 22.0(1) 55-89 (1992). doi:10.1002/net.3230220105</w:t>
      </w:r>
    </w:p>
    <w:p>
      <w:r>
        <w:t>[5] Kou, L., Markowsky, G., Berman, L.. A fast algorithm for Steiner trees. Acta Informatica 15.0(2) 141-145 (1981). doi:10.1007/BF00288961</w:t>
      </w:r>
    </w:p>
    <w:p>
      <w:r>
        <w:t>[6] Tram, H.N., Wall, D.L.. Optimal conductor selection in planning radial distribution systems. IEEE Transactions on Power Systems 3.0(1) 200-206 (1988). doi:10.1109/59.43199</w:t>
      </w:r>
    </w:p>
    <w:p>
      <w:r>
        <w:t>[7] Baran, M.E., Wu, F.F.. Optimal capacitor placement on radial distribution systems. IEEE Transactions on Power Delivery 4.0(1) 725-734 (1989). doi:10.1109/61.19265</w:t>
      </w:r>
    </w:p>
    <w:p>
      <w:r>
        <w:t>[8] Gan, Lingwen, Low, Steven H.. Convex relaxations and linear approximation for optimal power flow in multiphase radial networks. 2014 Power Systems Computation Conference ()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33.0(6) 6510-6521 (2018). doi:10.1109/TPWRS.2018.2829021</w:t>
      </w:r>
    </w:p>
    <w:p>
      <w:r>
        <w:t>[10] Haklay, M., Weber, P.. OpenStreetMap: User-Generated Street Maps. IEEE Pervasive Computing 7.0(4) 12-18 (2008). doi:10.1109/MPRV.2008.80</w:t>
      </w:r>
    </w:p>
    <w:p>
      <w:r>
        <w:t>[11] Tarraq, Ali, Mariami, Faissal El, Belfqih, Abdelaziz, Haidi, Touria. Optimal renewable distributed generation planning: an up-to-date state-of-the-art review. International Journal of Global Energy Issues 45.0(4/5) 315-348 (2023). doi:10.1504/IJGEI.2023.132011</w:t>
      </w:r>
    </w:p>
    <w:p>
      <w:r>
        <w:t>[12] Ross, R.. Reliability Analysis for Asset Management of Electric Power Grids. Wiley (book) ()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