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Much Is Topology Flexibility Worth at Renewal? A Feasibility-Constrained Life-Cycle Assessment of LV Re-Layout During Undergrounding</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quantifies the value of topology flexibility (VoF) at renewal: the mean over legacy reconstruction replicates of max(0, NPC(replicate) - NPC(best feasible redesign)), a nonnegative estimand in which retaining the incumbent layout is an admissible decision. We formulate re-layout as weighted Steiner-tree synthesis on the municipal road graph with per-edge conductor sizing, and we enforce engineering feasibility (415 V radial feeders sized for coincident load, ~150 kVA transformer zones, ampacity, 6% voltage-drop limit) before any scenario comparison; the linearized power flow is validated against pandapower AC power flow on every feasible synthesized feeder. Across 554 feasible LV clusters serving 58.6 MW of modeled LV demand in three Japanese municipalities, VoF is 0.01%, 0.39%, and 0.20% of like-for-like NPC in Sano, Kudamatsu, and Yasu — inside a pre-registered 1% economic-equivalence margin: the reconstructed incumbent-like LV layouts were economically equivalent to the best feasible redesigns within the modeled design space. A secondary naive scenario difference ΔNPC reaches -10% in Kudamatsu, but this is an estimand artifact (candidate sets exclude the incumbent, and ensemble means are compared to single candidates) that vanishes under the VoF estimand and is not robust to the LV/MV boundary assumption. Once LV physics is respected, like-for-like renewal is a defensible default; feasibility gating and estimand design are the analysis, not refinements.</w:t>
      </w:r>
    </w:p>
    <w:p>
      <w:r>
        <w:t>Keywords: distribution network planning; undergrounding; Steiner tree; life-cycle cost; engineering feasibility;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bounded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unknown, we reconstruct it as an ensemble and carry reconstruction uncertainty into the results via a topology divergence distance (TDD)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with classical discretized conductor selection </w:t>
      </w:r>
      <w:r>
        <w:rPr>
          <w:vertAlign w:val="superscript"/>
        </w:rPr>
        <w:t>6</w:t>
      </w:r>
      <w:r>
        <w:t xml:space="preserve"> and a linearized radial power-flow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source registry.</w:t>
      </w:r>
    </w:p>
    <w:p>
      <w:pPr>
        <w:pStyle w:val="Heading1"/>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r>
        <w:t>Two contrasts are distinguished. The primary estimand is the value of topology flexibility</w:t>
      </w:r>
    </w:p>
    <w:p>
      <m:oMathPara>
        <m:oMath>
          <m:r>
            <m:t>VoF = mean_r max(0, NPC(S1_r) − min(NPC(S1_r), NPC(S2)))</m:t>
          </m:r>
        </m:oMath>
      </m:oMathPara>
    </w:p>
    <w:p>
      <w:r>
        <w:t>averaged over reconstruction replicates r: retaining the incumbent layout is an admissible decision inside the redesign set, so VoF is nonnegative by construction and measures the value of having redesign available as an option, not of forcing it. The secondary, naive contrast ΔNPC (defined below) instead compares the ensemble-based incumbent representation against a forced-redesign candidate set that excludes the incumbent itself. Economic equivalence is pre-registered at |Δ|/NPC(S1) ≤ 1%: the margin was frozen in config/ECONOMIC_EQUIVALENCE_SPEC.yaml before outcome inspection, derived from the model's resolution limits (±30% construction-cost uncertainty, surrogate loss-model error, and municipal unit-price variation), not from observed effect sizes.</w:t>
      </w:r>
    </w:p>
    <w:p>
      <w:pPr>
        <w:pStyle w:val="Heading1"/>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589 zones (554 feasible) serving 58.6 MW of modeled LV peak demand — 75%, 55%, and 53% of total zone demand in Sano/Kudamatsu/Yasu (the remainder is MV-served by design and cancels in every contrast). The primary estimand VoF is 0.01% (0.0007 bn JPY), 0.39%, and 0.20%: all three zones fall inside the pre-registered 1% economic-equivalence margin and are classified economically_equivalent (config/ECONOMIC_EQUIVALENCE_SPEC.yaml). The secondary naive contrast ΔNPC is 0.01%, -10.1%, and 0.20%; conductor upsizing is negligible and peak losses are essentially unchanged, so the contrast is entirely a construction-cost comparison (Figures 1–3).</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A secondary rooftop-PV overlay (S3; 25.1, 8.1, and 8.2 MWp modeled potential) is scenario-based, relies on generous self-consumption assumptions, and is reported as an upper bound in the Supplement (Figure S1); it does not alter the primary VoF conclusion.</w:t>
      </w:r>
    </w:p>
    <w:p>
      <w:pPr>
        <w:pStyle w:val="Heading1"/>
      </w:pPr>
      <w:r>
        <w:t>4. Discussion</w:t>
      </w:r>
    </w:p>
    <w:p>
      <w:r>
        <w:t>The central finding is bounded and informative: under the nonnegative VoF estimand, inherited LV layouts in all three zones are economically equivalent to the best feasible re-layout — the value of topology flexibility at renewal is below 0.5% of life-cycle cost everywhere. Two methodological controls produce this result. First, feasibility gating: treating ~350 kW of raw building peaks as one undiversified LV load produces physically impossible feeders (double-digit voltage drops) and manufactures fictitious headroom. Second, estimand design: the negative Kudamatsu ΔNPC is an artifact of comparing an ensemble mean to candidate sets that exclude the incumbent; it is also not robust to the LV/MV boundary assumption (moving the MV-served threshold to 200 kW flips Kudamatsu ΔNPC to 0.27%, and to 120 kW gives -2.21%). The mechanistic audit attributes it to a handful of small wide-area clusters where any rewiring costs 2–10× the incumbent corridor with no compensating loss reduction (audit_v2/KUDAMATSU_MECHANISM_AUDIT.md).</w:t>
      </w:r>
    </w:p>
    <w:p>
      <w:r>
        <w:t>Limitations. Reconstructed topologies are modeled objects; even Tier-1 anchor data do not observe actual pole-to-pole routing, and results are conditional on the reconstruction ensemble (24-replicate and leave-one-family-out checks show stable estimates; S1 family NPC ratios 1.000/1.006/1.004). The LinDistFlow surrogate was validated against pandapower AC power flow on all feasible synthesized feeders (max voltage-magnitude deviation 0.019 pu, pre-specified tolerance 0.02; feasibility agreement 1.00; evaluated on 672 feasible synthesized feeders, all converged). This validates the linearized calculations on synthesized feeder models, not actual municipal topology. Coincidence factor, demand densities, the 6% drop limit, and the 150 kW LV/MV boundary are assumptions, not observations; the boundary assumption materially moves the ΔNPC contrast (Figure 4) though not the VoF ordering. MV-served demand is excluded by design and cancels in contrasts; the LV-modeled shares of total demand are 75%/55%/53%. Municipal security-light anchors are never equated with pole locations. Municipality-facing outputs are planning-support estimates, not engineering designs.</w:t>
      </w:r>
    </w:p>
    <w:p>
      <w:pPr>
        <w:pStyle w:val="Heading1"/>
      </w:pPr>
      <w:r>
        <w:t>5. Conclusions</w:t>
      </w:r>
    </w:p>
    <w:p>
      <w:r>
        <w:t>Under engineering-feasible LV reconstruction and a nonnegative value-of-flexibility estimand, renewal-time topology re-optimization is economically equivalent to like-for-like renewal in all three study zones (VoF 0.01–0.39% of NPC, inside the 1% margin). Large headline ΔNPC magnitudes reported for re-layout at renewal should be audited for feasibility gating and for estimand design before they are cited as benefits. Practical guidance: like-for-like undergrounding renewal is a defensible default at LV scale; the small modeled value of LV topology flexibility suggests that MV-level planning and distributed-generation integration may warrant separate evaluation rather than assuming substantial gains from LV re-layout alone.</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Primary estimand VoF (value of topology flexibility) by zone vs Monte-Carlo mean of the secondary naive ΔNPC.</w:t>
      </w:r>
    </w:p>
    <w:p>
      <w:r>
        <w:t>Figure 4. Sensitivity to engineering assumptions in all zones: secondary naive ΔNPC ranges (bars) vs primary VoF (dots); grey band = pre-registered 1% economic-equivalence margin.</w:t>
      </w:r>
    </w:p>
    <w:p>
      <w:pPr>
        <w:pStyle w:val="Heading1"/>
      </w:pPr>
      <w:r>
        <w:t>Supplementary material</w:t>
      </w:r>
    </w:p>
    <w:p>
      <w:r>
        <w:t>Figure S1. NPC of S2 vs the secondary rooftop-PV overlay S3 by zone (scenario-based upper bound; does not alter the primary VoF conclusion).</w:t>
      </w:r>
    </w:p>
    <w:p>
      <w:r>
        <w:t>Benchmark note. A second public MV benchmark (Iwamoto 11-bus) failed to converge in pandapower 3.5.5 and is excluded from validation statistics; the AC agreement reported in the main text covers all 672 feasible synthesized feeders.</w:t>
      </w:r>
    </w:p>
    <w:p>
      <w:r>
        <w:t>Additional machine-readable tables: cluster-level results, engineering-assumption sensitivity, Monte-Carlo sweep, and the claim-evidence matrix are provided as CSVs in the submission package.</w:t>
      </w:r>
    </w:p>
    <w:p>
      <w:pPr>
        <w:pStyle w:val="Heading1"/>
      </w:pPr>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pPr>
        <w:pStyle w:val="Heading1"/>
      </w:pPr>
      <w:r>
        <w:t>Table 2. Scenario results (feasibility-gated)</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city</w:t>
            </w:r>
          </w:p>
        </w:tc>
        <w:tc>
          <w:tcPr>
            <w:tcW w:type="dxa" w:w="720"/>
          </w:tcPr>
          <w:p>
            <w:r>
              <w:t>clusters</w:t>
            </w:r>
          </w:p>
        </w:tc>
        <w:tc>
          <w:tcPr>
            <w:tcW w:type="dxa" w:w="720"/>
          </w:tcPr>
          <w:p>
            <w:r>
              <w:t>clusters_feasible</w:t>
            </w:r>
          </w:p>
        </w:tc>
        <w:tc>
          <w:tcPr>
            <w:tcW w:type="dxa" w:w="720"/>
          </w:tcPr>
          <w:p>
            <w:r>
              <w:t>demand_MW</w:t>
            </w:r>
          </w:p>
        </w:tc>
        <w:tc>
          <w:tcPr>
            <w:tcW w:type="dxa" w:w="720"/>
          </w:tcPr>
          <w:p>
            <w:r>
              <w:t>S1_NPC_bn</w:t>
            </w:r>
          </w:p>
        </w:tc>
        <w:tc>
          <w:tcPr>
            <w:tcW w:type="dxa" w:w="720"/>
          </w:tcPr>
          <w:p>
            <w:r>
              <w:t>S2_NPC_bn</w:t>
            </w:r>
          </w:p>
        </w:tc>
        <w:tc>
          <w:tcPr>
            <w:tcW w:type="dxa" w:w="720"/>
          </w:tcPr>
          <w:p>
            <w:r>
              <w:t>VoF_bn</w:t>
            </w:r>
          </w:p>
        </w:tc>
        <w:tc>
          <w:tcPr>
            <w:tcW w:type="dxa" w:w="720"/>
          </w:tcPr>
          <w:p>
            <w:r>
              <w:t>VoF_pct_primary</w:t>
            </w:r>
          </w:p>
        </w:tc>
        <w:tc>
          <w:tcPr>
            <w:tcW w:type="dxa" w:w="720"/>
          </w:tcPr>
          <w:p>
            <w:r>
              <w:t>P_VoF_pos</w:t>
            </w:r>
          </w:p>
        </w:tc>
        <w:tc>
          <w:tcPr>
            <w:tcW w:type="dxa" w:w="720"/>
          </w:tcPr>
          <w:p>
            <w:r>
              <w:t>Delta_NPC_bn_secondary</w:t>
            </w:r>
          </w:p>
        </w:tc>
        <w:tc>
          <w:tcPr>
            <w:tcW w:type="dxa" w:w="720"/>
          </w:tcPr>
          <w:p>
            <w:r>
              <w:t>Delta_NPC_pct_secondary</w:t>
            </w:r>
          </w:p>
        </w:tc>
        <w:tc>
          <w:tcPr>
            <w:tcW w:type="dxa" w:w="720"/>
          </w:tcPr>
          <w:p>
            <w:r>
              <w:t>mean_TDD</w:t>
            </w:r>
          </w:p>
        </w:tc>
      </w:tr>
      <w:tr>
        <w:tc>
          <w:tcPr>
            <w:tcW w:type="dxa" w:w="720"/>
          </w:tcPr>
          <w:p>
            <w:r>
              <w:t>sano</w:t>
            </w:r>
          </w:p>
        </w:tc>
        <w:tc>
          <w:tcPr>
            <w:tcW w:type="dxa" w:w="720"/>
          </w:tcPr>
          <w:p>
            <w:r>
              <w:t>385</w:t>
            </w:r>
          </w:p>
        </w:tc>
        <w:tc>
          <w:tcPr>
            <w:tcW w:type="dxa" w:w="720"/>
          </w:tcPr>
          <w:p>
            <w:r>
              <w:t>360</w:t>
            </w:r>
          </w:p>
        </w:tc>
        <w:tc>
          <w:tcPr>
            <w:tcW w:type="dxa" w:w="720"/>
          </w:tcPr>
          <w:p>
            <w:r>
              <w:t>38.4</w:t>
            </w:r>
          </w:p>
        </w:tc>
        <w:tc>
          <w:tcPr>
            <w:tcW w:type="dxa" w:w="720"/>
          </w:tcPr>
          <w:p>
            <w:r>
              <w:t>4.84</w:t>
            </w:r>
          </w:p>
        </w:tc>
        <w:tc>
          <w:tcPr>
            <w:tcW w:type="dxa" w:w="720"/>
          </w:tcPr>
          <w:p>
            <w:r>
              <w:t>4.84</w:t>
            </w:r>
          </w:p>
        </w:tc>
        <w:tc>
          <w:tcPr>
            <w:tcW w:type="dxa" w:w="720"/>
          </w:tcPr>
          <w:p>
            <w:r>
              <w:t>0.000702</w:t>
            </w:r>
          </w:p>
        </w:tc>
        <w:tc>
          <w:tcPr>
            <w:tcW w:type="dxa" w:w="720"/>
          </w:tcPr>
          <w:p>
            <w:r>
              <w:t>0.0145</w:t>
            </w:r>
          </w:p>
        </w:tc>
        <w:tc>
          <w:tcPr>
            <w:tcW w:type="dxa" w:w="720"/>
          </w:tcPr>
          <w:p>
            <w:r>
              <w:t>0.00833</w:t>
            </w:r>
          </w:p>
        </w:tc>
        <w:tc>
          <w:tcPr>
            <w:tcW w:type="dxa" w:w="720"/>
          </w:tcPr>
          <w:p>
            <w:r>
              <w:t>0.000702</w:t>
            </w:r>
          </w:p>
        </w:tc>
        <w:tc>
          <w:tcPr>
            <w:tcW w:type="dxa" w:w="720"/>
          </w:tcPr>
          <w:p>
            <w:r>
              <w:t>0.0145</w:t>
            </w:r>
          </w:p>
        </w:tc>
        <w:tc>
          <w:tcPr>
            <w:tcW w:type="dxa" w:w="720"/>
          </w:tcPr>
          <w:p>
            <w:r>
              <w:t>0.00281</w:t>
            </w:r>
          </w:p>
        </w:tc>
      </w:tr>
      <w:tr>
        <w:tc>
          <w:tcPr>
            <w:tcW w:type="dxa" w:w="720"/>
          </w:tcPr>
          <w:p>
            <w:r>
              <w:t>kudamatsu</w:t>
            </w:r>
          </w:p>
        </w:tc>
        <w:tc>
          <w:tcPr>
            <w:tcW w:type="dxa" w:w="720"/>
          </w:tcPr>
          <w:p>
            <w:r>
              <w:t>96</w:t>
            </w:r>
          </w:p>
        </w:tc>
        <w:tc>
          <w:tcPr>
            <w:tcW w:type="dxa" w:w="720"/>
          </w:tcPr>
          <w:p>
            <w:r>
              <w:t>88</w:t>
            </w:r>
          </w:p>
        </w:tc>
        <w:tc>
          <w:tcPr>
            <w:tcW w:type="dxa" w:w="720"/>
          </w:tcPr>
          <w:p>
            <w:r>
              <w:t>9.5</w:t>
            </w:r>
          </w:p>
        </w:tc>
        <w:tc>
          <w:tcPr>
            <w:tcW w:type="dxa" w:w="720"/>
          </w:tcPr>
          <w:p>
            <w:r>
              <w:t>4.65</w:t>
            </w:r>
          </w:p>
        </w:tc>
        <w:tc>
          <w:tcPr>
            <w:tcW w:type="dxa" w:w="720"/>
          </w:tcPr>
          <w:p>
            <w:r>
              <w:t>5.12</w:t>
            </w:r>
          </w:p>
        </w:tc>
        <w:tc>
          <w:tcPr>
            <w:tcW w:type="dxa" w:w="720"/>
          </w:tcPr>
          <w:p>
            <w:r>
              <w:t>0.0183</w:t>
            </w:r>
          </w:p>
        </w:tc>
        <w:tc>
          <w:tcPr>
            <w:tcW w:type="dxa" w:w="720"/>
          </w:tcPr>
          <w:p>
            <w:r>
              <w:t>0.394</w:t>
            </w:r>
          </w:p>
        </w:tc>
        <w:tc>
          <w:tcPr>
            <w:tcW w:type="dxa" w:w="720"/>
          </w:tcPr>
          <w:p>
            <w:r>
              <w:t>0.159</w:t>
            </w:r>
          </w:p>
        </w:tc>
        <w:tc>
          <w:tcPr>
            <w:tcW w:type="dxa" w:w="720"/>
          </w:tcPr>
          <w:p>
            <w:r>
              <w:t>-0.468</w:t>
            </w:r>
          </w:p>
        </w:tc>
        <w:tc>
          <w:tcPr>
            <w:tcW w:type="dxa" w:w="720"/>
          </w:tcPr>
          <w:p>
            <w:r>
              <w:t>-10.1</w:t>
            </w:r>
          </w:p>
        </w:tc>
        <w:tc>
          <w:tcPr>
            <w:tcW w:type="dxa" w:w="720"/>
          </w:tcPr>
          <w:p>
            <w:r>
              <w:t>0.0537</w:t>
            </w:r>
          </w:p>
        </w:tc>
      </w:tr>
      <w:tr>
        <w:tc>
          <w:tcPr>
            <w:tcW w:type="dxa" w:w="720"/>
          </w:tcPr>
          <w:p>
            <w:r>
              <w:t>yasu</w:t>
            </w:r>
          </w:p>
        </w:tc>
        <w:tc>
          <w:tcPr>
            <w:tcW w:type="dxa" w:w="720"/>
          </w:tcPr>
          <w:p>
            <w:r>
              <w:t>108</w:t>
            </w:r>
          </w:p>
        </w:tc>
        <w:tc>
          <w:tcPr>
            <w:tcW w:type="dxa" w:w="720"/>
          </w:tcPr>
          <w:p>
            <w:r>
              <w:t>106</w:t>
            </w:r>
          </w:p>
        </w:tc>
        <w:tc>
          <w:tcPr>
            <w:tcW w:type="dxa" w:w="720"/>
          </w:tcPr>
          <w:p>
            <w:r>
              <w:t>10.7</w:t>
            </w:r>
          </w:p>
        </w:tc>
        <w:tc>
          <w:tcPr>
            <w:tcW w:type="dxa" w:w="720"/>
          </w:tcPr>
          <w:p>
            <w:r>
              <w:t>3</w:t>
            </w:r>
          </w:p>
        </w:tc>
        <w:tc>
          <w:tcPr>
            <w:tcW w:type="dxa" w:w="720"/>
          </w:tcPr>
          <w:p>
            <w:r>
              <w:t>2.99</w:t>
            </w:r>
          </w:p>
        </w:tc>
        <w:tc>
          <w:tcPr>
            <w:tcW w:type="dxa" w:w="720"/>
          </w:tcPr>
          <w:p>
            <w:r>
              <w:t>0.00603</w:t>
            </w:r>
          </w:p>
        </w:tc>
        <w:tc>
          <w:tcPr>
            <w:tcW w:type="dxa" w:w="720"/>
          </w:tcPr>
          <w:p>
            <w:r>
              <w:t>0.201</w:t>
            </w:r>
          </w:p>
        </w:tc>
        <w:tc>
          <w:tcPr>
            <w:tcW w:type="dxa" w:w="720"/>
          </w:tcPr>
          <w:p>
            <w:r>
              <w:t>0.0849</w:t>
            </w:r>
          </w:p>
        </w:tc>
        <w:tc>
          <w:tcPr>
            <w:tcW w:type="dxa" w:w="720"/>
          </w:tcPr>
          <w:p>
            <w:r>
              <w:t>0.00603</w:t>
            </w:r>
          </w:p>
        </w:tc>
        <w:tc>
          <w:tcPr>
            <w:tcW w:type="dxa" w:w="720"/>
          </w:tcPr>
          <w:p>
            <w:r>
              <w:t>0.201</w:t>
            </w:r>
          </w:p>
        </w:tc>
        <w:tc>
          <w:tcPr>
            <w:tcW w:type="dxa" w:w="720"/>
          </w:tcPr>
          <w:p>
            <w:r>
              <w:t>0.0108</w:t>
            </w:r>
          </w:p>
        </w:tc>
      </w:tr>
    </w:tbl>
    <w:p>
      <w:pPr>
        <w:pStyle w:val="Heading1"/>
      </w:pPr>
      <w:r>
        <w:t>References</w:t>
      </w:r>
    </w:p>
    <w:p>
      <w:r>
        <w:t>[1] Taheri, Babak, Molzahn, Daniel K., Grijalva, Santiago. Improving distribution system resilience by undergrounding lines and deploying mobile generators. Electric Power Systems Research 214: 108804 (2023). doi:10.1016/j.epsr.2022.108804</w:t>
      </w:r>
    </w:p>
    <w:p>
      <w:r>
        <w:t>[2] Baran, M.E., Wu, F.F. Network reconfiguration in distribution systems for loss reduction and load balancing. IEEE Transactions on Power Delivery 4(2): 1401-1407 (1989). doi:10.1109/61.25627</w:t>
      </w:r>
    </w:p>
    <w:p>
      <w:r>
        <w:t>[3] Camargo, Vera, Lavorato, Marina, Romero, Ruben. Specialized genetic algorithm to solve the electrical distribution system expansion planning. 2013 IEEE Power &amp; Energy Society General Meeting pp. 1-5 (2013). doi:10.1109/PESMG.2013.6672615</w:t>
      </w:r>
    </w:p>
    <w:p>
      <w:r>
        <w:t>[4] Hwang, F. K., Richards, Dana S. Steiner tree problems. Networks 22(1): 55-89 (1992). doi:10.1002/net.3230220105</w:t>
      </w:r>
    </w:p>
    <w:p>
      <w:r>
        <w:t>[5] Kou, L., Markowsky, G., Berman, L. A fast algorithm for Steiner trees. Acta Informatica 15(2): 141-145 (1981). doi:10.1007/BF00288961</w:t>
      </w:r>
    </w:p>
    <w:p>
      <w:r>
        <w:t>[6] Tram, H.N., Wall, D.L. Optimal conductor selection in planning radial distribution systems. IEEE Transactions on Power Systems 3(1): 200-206 (1988). doi:10.1109/59.43199</w:t>
      </w:r>
    </w:p>
    <w:p>
      <w:r>
        <w:t>[7] Baran, M.E., Wu, F.F. Optimal capacitor placement on radial distribution systems. IEEE Transactions on Power Delivery 4(1): 725-734 (1989). doi:10.1109/61.19265</w:t>
      </w:r>
    </w:p>
    <w:p>
      <w:r>
        <w:t>[8] Gan, Lingwen, Low, Steven H. Convex relaxations and linear approximation for optimal power flow in multiphase radial networks. 2014 Power Systems Computation Conference pp.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33(6): 6510-6521 (2018). doi:10.1109/TPWRS.2018.2829021</w:t>
      </w:r>
    </w:p>
    <w:p>
      <w:r>
        <w:t>[10] Haklay, M., Weber, P. OpenStreetMap: User-Generated Street Maps. IEEE Pervasive Computing 7(4): 12-18 (2008). doi:10.1109/MPRV.2008.80</w:t>
      </w:r>
    </w:p>
    <w:p>
      <w:r>
        <w:t>[11] Tarraq, Ali, Mariami, Faissal El, Belfqih, Abdelaziz, Haidi, Touria. Optimal renewable distributed generation planning: an up-to-date state-of-the-art review. International Journal of Global Energy Issues 45(4/5): 315-348 (2023). doi:10.1504/IJGEI.2023.132011</w:t>
      </w:r>
    </w:p>
    <w:p>
      <w:r>
        <w:t>[12] Ross, R. Reliability Analysis for Asset Management of Electric Power Grids. Wiley (book)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