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methods and reproducibility notes</w:t>
      </w:r>
    </w:p>
    <w:p>
      <w:pPr>
        <w:pStyle w:val="Heading1"/>
      </w:pPr>
      <w:r>
        <w:t>S1. Evidence classes</w:t>
      </w:r>
    </w:p>
    <w:p>
      <w:r>
        <w:t>Observed quantities are direct fields in archived source files. Reconstructed quantities are graph objects inferred from observed geography. Modeled quantities are outputs of declared algorithms. Assumed quantities are engineering or economic inputs without case-specific measurement. Sensitivity quantities are values sampled over declared ranges.</w:t>
      </w:r>
    </w:p>
    <w:p>
      <w:pPr>
        <w:pStyle w:val="Heading1"/>
      </w:pPr>
      <w:r>
        <w:t>S2. Engineering gates</w:t>
      </w:r>
    </w:p>
    <w:p>
      <w:pPr>
        <w:pStyle w:val="ListBullet"/>
      </w:pPr>
      <w:r>
        <w:t>Connectivity, radiality and complete demand service are mandatory.</w:t>
      </w:r>
    </w:p>
    <w:p>
      <w:pPr>
        <w:pStyle w:val="ListBullet"/>
      </w:pPr>
      <w:r>
        <w:t>MV, transformer and LV drop limits are 3.0%, 2.5% and 4.0%.</w:t>
      </w:r>
    </w:p>
    <w:p>
      <w:pPr>
        <w:pStyle w:val="ListBullet"/>
      </w:pPr>
      <w:r>
        <w:t>Customer voltage must remain within 0.905–1.019 pu.</w:t>
      </w:r>
    </w:p>
    <w:p>
      <w:pPr>
        <w:pStyle w:val="ListBullet"/>
      </w:pPr>
      <w:r>
        <w:t>Cable and transformer loading cannot exceed 100%.</w:t>
      </w:r>
    </w:p>
    <w:p>
      <w:pPr>
        <w:pStyle w:val="ListBullet"/>
      </w:pPr>
      <w:r>
        <w:t>Source power must equal customer demand plus modeled losses.</w:t>
      </w:r>
    </w:p>
    <w:p>
      <w:pPr>
        <w:pStyle w:val="Heading1"/>
      </w:pPr>
      <w:r>
        <w:t>S3. Interpretation limits</w:t>
      </w:r>
    </w:p>
    <w:p>
      <w:r>
        <w:t>The cases are synthetic geospatial screens with local idealized sources. Conditional scenario sampling freezes topology and equipment within each draw. Prefix stability uses one candidate ensemble and is not independent-seed algorithmic convergence. The conductor search is bounded and local.</w:t>
      </w:r>
    </w:p>
    <w:p>
      <w:pPr>
        <w:pStyle w:val="Heading1"/>
      </w:pPr>
      <w:r>
        <w:t>S4. Reproducibility</w:t>
      </w:r>
    </w:p>
    <w:p>
      <w:r>
        <w:t>The package contains raw-data checksums and registry, frozen engineering and study configuration, executable scripts, unit tests, machine-readable results, the frozen manuscript-value ledger and a clean-room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