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Much Is Topology Flexibility Worth at Renewal? A Feasibility-Constrained Life-Cycle Assessment of LV Re-Layout During Undergrounding</w:t>
      </w:r>
    </w:p>
    <w:p>
      <w:r>
        <w:t>Original research article prepared for Computer-Aided Civil and Infrastructure Engineering (Wiley)</w:t>
      </w:r>
    </w:p>
    <w:p>
      <w:r>
        <w:t>[Authors and affiliations to be completed at submission]</w:t>
      </w:r>
    </w:p>
    <w:p>
      <w:r>
        <w:t>Corresponding author: [to be completed at submission]</w:t>
      </w:r>
    </w:p>
    <w:p>
      <w:pPr>
        <w:pStyle w:val="Heading1"/>
      </w:pPr>
      <w:r>
        <w:t>Abstract</w:t>
      </w:r>
    </w:p>
    <w:p>
      <w:r>
        <w:t>When aging overhead distribution lines are renewed by undergrounding, standard practice is like-for-like replacement along the existing route. Because the renewal window is the rare moment when topology can be re-chosen at committed civil cost, this study quantifies the value of topology flexibility (VoF) at renewal: the mean over legacy reconstruction replicates of max(0, NPC(replicate) − NPC(best feasible redesign)), a nonnegative estimand in which retaining the incumbent layout is an admissible decision. Re-layout is formulated as weighted Steiner-tree synthesis on the municipal road graph with per-edge conductor sizing, under explicit engineering feasibility gates (415 V radial feeders, coincident load, ~150 kVA transformer zones, ampacity, 6% voltage-drop limit); the linearized power flow is AC-validated on every feasible synthesized feeder. Across 554 feasible LV clusters serving 58.6 MW of modeled demand in three Japanese municipalities, VoF is 0.01%, 0.39%, and 0.20% of like-for-like NPC — inside a prespecified 1% practical equivalence margin. A secondary naive contrast reaches −10%, but this is an estimand artifact, not a real saving. Once LV physics is respected, like-for-like renewal is a defensible default.</w:t>
      </w:r>
    </w:p>
    <w:p>
      <w:r>
        <w:t>Keywords: infrastructure renewal; distribution network planning; undergrounding; Steiner tree; life-cycle cost; engineering feasibility; open data</w:t>
      </w:r>
    </w:p>
    <w:p>
      <w:pPr>
        <w:pStyle w:val="Heading1"/>
      </w:pPr>
      <w:r>
        <w:t>1. Introduction</w:t>
      </w:r>
    </w:p>
    <w:p>
      <w:r>
        <w:t xml:space="preserve">Civil infrastructure systems face a large renewal cohort: aging overhead distribution lines are increasingly replaced by underground cables for resilience and amenity </w:t>
      </w:r>
      <w:r>
        <w:t>(Taheri et al., 2023)</w:t>
      </w:r>
      <w:r>
        <w:t xml:space="preserve">. Renewal programs conventionally reproduce the legacy overhead route underground (like-for-like), because easements, customer drop points, and construction sequencing push planners toward the incumbent layout. Cost-benefit studies of undergrounding have evaluated the system-level policy choice of burying lines versus retaining overhead service </w:t>
      </w:r>
      <w:r>
        <w:t>(Fenrick and Getachew, 2012)</w:t>
      </w:r>
      <w:r>
        <w:t xml:space="preserve">; </w:t>
      </w:r>
      <w:r>
        <w:t>(Larsen, 2016)</w:t>
      </w:r>
      <w:r>
        <w:t xml:space="preserve">, and network-planning research has long treated topology as a decision variable at expansion, reconfiguration, or greenfield routing stages </w:t>
      </w:r>
      <w:r>
        <w:t>(Baran and Wu, 1989a)</w:t>
      </w:r>
      <w:r>
        <w:t xml:space="preserve">; </w:t>
      </w:r>
      <w:r>
        <w:t>(Samui et al., 2012)</w:t>
      </w:r>
      <w:r>
        <w:t xml:space="preserve">; </w:t>
      </w:r>
      <w:r>
        <w:t>(Camargo et al., 2013)</w:t>
      </w:r>
      <w:r>
        <w:t xml:space="preserve">; </w:t>
      </w:r>
      <w:r>
        <w:t>(Kumar et al., 2014)</w:t>
      </w:r>
      <w:r>
        <w:t>. However, the renewal window — when civil-works margins are already committed — is rarely examined as a topology decision point, and candidate designs are not always checked against LV electrical feasibility before cost comparison.</w:t>
      </w:r>
    </w:p>
    <w:p>
      <w:r>
        <w:t xml:space="preserve">This paper contributes a feasibility-constrained method and a bounded empirical answer, not a case study of a particular municipality. The life-cycle renewal benefit ΔNPC measures the discounted NPC gap between the like-for-like underground plan (S1) and a plan that re-optimizes topology and conductor sizes (S2) on the same road corridor graph, computed only on clusters that satisfy explicit voltage-drop, ampacity, transformer-loading, and radiality gates. Because the true legacy topology is generally unobserved, we reconstruct it as an ensemble — in the spirit of data-driven geo-referenced LV topology synthesis </w:t>
      </w:r>
      <w:r>
        <w:t>(Abhilash et al., 2021)</w:t>
      </w:r>
      <w:r>
        <w:t xml:space="preserve"> — and carry reconstruction uncertainty into the results via a topology divergence distance (TDD) rather than asserting a single ground truth. The optimization core uses a weighted Steiner-tree approximation </w:t>
      </w:r>
      <w:r>
        <w:t>(Kou et al., 1981)</w:t>
      </w:r>
      <w:r>
        <w:t xml:space="preserve">; </w:t>
      </w:r>
      <w:r>
        <w:t>(Hwang and Richards, 1992)</w:t>
      </w:r>
      <w:r>
        <w:t xml:space="preserve"> on the municipal road graph, with classical discretized conductor selection </w:t>
      </w:r>
      <w:r>
        <w:t>(Tram and Wall, 1988)</w:t>
      </w:r>
      <w:r>
        <w:t xml:space="preserve"> and a linearized radial power-flow model </w:t>
      </w:r>
      <w:r>
        <w:t>(Baran and Wu, 1989b)</w:t>
      </w:r>
      <w:r>
        <w:t xml:space="preserve">; </w:t>
      </w:r>
      <w:r>
        <w:t>(Gan and Low, 2014)</w:t>
      </w:r>
      <w:r>
        <w:t xml:space="preserve">. Benchmark validation uses pandapower </w:t>
      </w:r>
      <w:r>
        <w:t>(Thurner et al., 2018)</w:t>
      </w:r>
      <w:r>
        <w:t xml:space="preserve">. Demand geography derives from OpenStreetMap buildings and roads </w:t>
      </w:r>
      <w:r>
        <w:t>(Haklay and Weber, 2008)</w:t>
      </w:r>
      <w:r>
        <w:t xml:space="preserve">, and a rooftop-PV extension follows distributed-generation planning practice </w:t>
      </w:r>
      <w:r>
        <w:t>(Tarraq et al., 2023)</w:t>
      </w:r>
      <w:r>
        <w:t xml:space="preserve">. Asset-renewal context follows standard asset-management treatment of deteriorating infrastructure </w:t>
      </w:r>
      <w:r>
        <w:t>(Ross, 2019)</w:t>
      </w:r>
      <w:r>
        <w:t>. The central methodological claim is that the *choice of estimand* determines whether re-layout appears valuable: a forced-redesign contrast manufactures apparent savings that vanish once the incumbent layout is admitted to the feasible design space.</w:t>
      </w:r>
    </w:p>
    <w:p>
      <w:pPr>
        <w:pStyle w:val="Heading1"/>
      </w:pPr>
      <w:r>
        <w:t>2. Data and methods</w:t>
      </w:r>
    </w:p>
    <w:p>
      <w:pPr>
        <w:pStyle w:val="Heading2"/>
      </w:pPr>
      <w:r>
        <w:t>2.1 Study zones and data tiers</w:t>
      </w:r>
    </w:p>
    <w:p>
      <w:r>
        <w:t>Three municipalities were selected for complementary data tiers rather than representativeness of Japan as a whole (Table 1). Sano (Tier 1) provides security-light inventories linked to pole identifiers; Kudamatsu (Tier 2) provides geolocated security-light anchors without pole linkage; Yasu (Tier 3) provides road and building geometry only. Within each municipality a compact study zone was extracted as the largest connected component of the road graph, and building footprints were assigned estimated peak demand (30–60 W/m², two floors assumed) and snapped to the nearest road node. Buildings whose estimated raw peak exceeds 150 kW are marked medium-voltage-served and excluded from LV synthesis; this removes 12.2, 7.2, and 8.9 MW of modeled raw peak in the three zones respectively. All raw public data, checksums, and acquisition provenance are preserved in a machine-readable source registry.</w:t>
      </w:r>
    </w:p>
    <w:p>
      <w:pPr>
        <w:pStyle w:val="Heading2"/>
      </w:pPr>
      <w:r>
        <w:t>2.2 Feasibility-constrained reconstruction (S0)</w:t>
      </w:r>
    </w:p>
    <w:p>
      <w:r>
        <w:t>LV-served demand nodes are clustered into transformer zones of approximately 100 kW raw peak (the scale of a 150 kVA distribution transformer), and a coincidence factor of 0.6 is applied to building peaks for all electrical and capacity calculations — peak-summation of building maxima is not physically plausible on a shared feeder. For each cluster, the legacy overhead network is reconstructed by an ensemble of twelve replicates across two families: (A) a Steiner heuristic with jittered edge costs and a bias toward Tier-1/Tier-2 anchors; and (B) an incremental cheapest-attachment heuristic with shuffled terminal order. No replicate is claimed to be the true network. Every reconstructed or optimized candidate is admitted to the scenario comparison only if it satisfies the frozen feasibility specification: maximum voltage drop ≤6%, conductor ampacity, coincident transformer loading ≤150 kVA, radiality, connectivity, and power balance.</w:t>
      </w:r>
    </w:p>
    <w:p>
      <w:pPr>
        <w:pStyle w:val="Heading2"/>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and ADF the annuity discount factor over horizon h=40 y at r=3%. CAPEX combines excavation and duct costs per metre with conductor cost proportional to cross-section, plus one 150 kVA pad transformer per cluster in every scenario (the term cancels in differences but is carried for absolute NPC honesty). Energy losses use the LinDistFlow quadratic expression</w:t>
      </w:r>
    </w:p>
    <w:p>
      <m:oMathPara>
        <m:oMath>
          <m:r>
            <m:t>P_loss = Σ_e 3 I_e² R_e</m:t>
          </m:r>
        </m:oMath>
      </m:oMathPara>
    </w:p>
    <w:p>
      <w:r>
        <w:t>scaled by a load factor of 0.35 to annual energy. In S2 each edge independently selects a conductor size from {150, 250, 400, 600} mm² subject to its ampacity, minimizing its own NPC contribution; topology candidates are weighted Steiner trees in which near-source edges carry a loss-priority weight.</w:t>
      </w:r>
    </w:p>
    <w:p>
      <w:r>
        <w:t>Two contrasts are distinguished. The primary estimand is the value of topology flexibility</w:t>
      </w:r>
    </w:p>
    <w:p>
      <m:oMathPara>
        <m:oMath>
          <m:r>
            <m:t>VoF = mean_r max(0, NPC(S1_r) − min(NPC(S1_r), NPC(S2)))</m:t>
          </m:r>
        </m:oMath>
      </m:oMathPara>
    </w:p>
    <w:p>
      <w:r>
        <w:t>averaged over reconstruction replicates r: retaining the incumbent layout is an admissible decision inside the redesign set, so VoF is nonnegative by construction and measures the value of having redesign available as an option, not of forcing it. The secondary, naive contrast ΔNPC (defined below) instead compares the ensemble-based incumbent representation against a forced-redesign candidate set that excludes the incumbent itself. Economic equivalence is prespecified at |Δ|/NPC(S1) ≤ 1%: the margin was frozen before outcome inspection, derived from the model's resolution limits (±30% construction-cost uncertainty, surrogate loss-model error, and municipal unit-price variation), not from observed effect sizes.</w:t>
      </w:r>
    </w:p>
    <w:p>
      <w:pPr>
        <w:pStyle w:val="Heading2"/>
      </w:pPr>
      <w:r>
        <w:t>2.4 Scenarios and metrics</w:t>
      </w:r>
    </w:p>
    <w:p>
      <w:r>
        <w:t>S1 (like-for-like): each reconstruction replicate rebuilt underground with the reference 150 mm² conductor. S2 (optimized): minimum-NPC topology over the candidate set with ampacity-feasible conductor sizing. S3: S2 plus rooftop PV sized from clipped building footprints (30% usable roof, 0.15 kWp/m²) with credited generation bounded by local energy consumption. The primary metric is the life-cycle renewal benefit</w:t>
      </w:r>
    </w:p>
    <w:p>
      <m:oMathPara>
        <m:oMath>
          <m:r>
            <m:t>ΔNPC = NPC(S1) − NPC(S2)</m:t>
          </m:r>
        </m:oMath>
      </m:oMathPara>
    </w:p>
    <w:p>
      <w:r>
        <w:t>reported also as a percentage of NPC(S1). Topology divergence between the minimum-construction (w_loss=0) and the most loss-weighted candidate is measured by the topology divergence distance</w:t>
      </w:r>
    </w:p>
    <w:p>
      <m:oMathPara>
        <m:oMath>
          <m:r>
            <m:t>TDD = 1 − |E_C ∩ E_L| / |E_C ∪ E_L|</m:t>
          </m:r>
        </m:oMath>
      </m:oMathPara>
    </w:p>
    <w:p>
      <w:r>
        <w:t>over edge sets (an edge-set distance, not a likelihood). P(ΔNPC&gt;0) from the Monte-Carlo driver sweep is reported only as model uncertainty, not as a claim about real-network behaviour.</w:t>
      </w:r>
    </w:p>
    <w:p>
      <w:pPr>
        <w:pStyle w:val="Heading1"/>
      </w:pPr>
      <w:r>
        <w:t>3. Results</w:t>
      </w:r>
    </w:p>
    <w:p>
      <w:r>
        <w:t>Table 2 summarizes 589 clusters (554 feasible) serving 58.6 MW of modeled LV peak demand — 75%, 55%, and 53% of total zone demand in Sano/Kudamatsu/Yasu (the remainder is MV-served by design and cancels in every contrast). The primary estimand VoF is 0.01% (0.0007 bn JPY), 0.39%, and 0.20%: all three zones fall inside the prespecified 1% economic-equivalence margin and are classified economically_equivalent. The secondary naive contrast ΔNPC is 0.01%, -10.1%, and 0.20%; conductor upsizing is negligible and peak losses are essentially unchanged, so the contrast is entirely a construction-cost comparison (Figures 1–3).</w:t>
      </w:r>
    </w:p>
    <w:p>
      <w:r>
        <w:t>Monte-Carlo sensitivity over discount rate (2–4.5%), electricity price (15–35 JPY/kWh), construction cost (±30%), O&amp;M fraction, load factor, and horizon (30–50 y) yields P(ΔNPC&gt;0) of 1.00, 0.00, and 1.00: Sano and Yasu are marginally but robustly positive, while Kudamatsu is robustly negative — its reconstructed legacy trees already sit near the cost optimum, so re-routing adds cable length without compensating loss savings (Figures 3–4). A secondary rooftop-PV overlay (S3; 25.1, 8.1, and 8.2 MWp modeled potential) is scenario-based, relies on generous self-consumption assumptions, and is reported as an upper bound in the Supplement (Figure S1); it does not alter the primary VoF conclusion.</w:t>
      </w:r>
    </w:p>
    <w:p>
      <w:pPr>
        <w:pStyle w:val="Heading1"/>
      </w:pPr>
      <w:r>
        <w:t>4. Discussion</w:t>
      </w:r>
    </w:p>
    <w:p>
      <w:r>
        <w:t xml:space="preserve">The central finding is bounded and informative: under the nonnegative VoF estimand, inherited LV layouts in all three zones are economically equivalent to the best feasible re-layout — the value of topology flexibility at renewal is below 0.5% of life-cycle cost everywhere. This sits alongside, and extends, two literatures that have not previously met. System-level cost-benefit analyses conclude that undergrounding is generally not cost-effective as a blanket policy </w:t>
      </w:r>
      <w:r>
        <w:t>(Fenrick and Getachew, 2012)</w:t>
      </w:r>
      <w:r>
        <w:t xml:space="preserve">; </w:t>
      </w:r>
      <w:r>
        <w:t>(Larsen, 2016)</w:t>
      </w:r>
      <w:r>
        <w:t xml:space="preserve">; our result shows that even inside a committed undergrounding program, the incumbent layout is already near the life-cycle optimum, so the residual value of re-layout is small. Feeder-routing and expansion-planning methods optimize topology against a fixed or greenfield demand surface </w:t>
      </w:r>
      <w:r>
        <w:t>(Samui et al., 2012)</w:t>
      </w:r>
      <w:r>
        <w:t xml:space="preserve">; </w:t>
      </w:r>
      <w:r>
        <w:t>(Kumar et al., 2014)</w:t>
      </w:r>
      <w:r>
        <w:t xml:space="preserve">; we add the renewal-window choice-set structure in which the incumbent remains admissible, turning the question from 'find the better network' into 'is the option to redesign worth exercising'. Geo-referenced synthesis of LV topologies from open data </w:t>
      </w:r>
      <w:r>
        <w:t>(Abhilash et al., 2021)</w:t>
      </w:r>
      <w:r>
        <w:t xml:space="preserve"> provides the reconstruction precedent; we add feasibility gating and reconstruction-ensemble uncertainty before any cost contrast is drawn.</w:t>
      </w:r>
    </w:p>
    <w:p>
      <w:r>
        <w:t>Two methodological controls produce the bounded result. First, feasibility gating: treating ~350 kW of raw building peaks as one undiversified LV load produces physically impossible feeders (double-digit voltage drops) and manufactures fictitious headroom. Second, estimand design: the negative Kudamatsu ΔNPC is an artifact of comparing an ensemble mean to candidate sets that exclude the incumbent; it is also not robust to the LV/MV boundary assumption (moving the MV-served threshold to 200 kW flips Kudamatsu ΔNPC to 0.27%, and to 120 kW gives -2.21%). The mechanistic audit attributes it to a handful of small wide-area clusters where any rewiring costs 2–10× the incumbent corridor with no compensating loss reduction.</w:t>
      </w:r>
    </w:p>
    <w:p>
      <w:r>
        <w:t>Limitations. Reconstructed topologies are modeled objects; even Tier-1 anchor data do not observe actual pole-to-pole routing, and results are conditional on the reconstruction ensemble (24-replicate and leave-one-family-out checks show stable estimates; S1 family NPC ratios 1.000/1.006/1.004). The LinDistFlow surrogate was validated against pandapower AC power flow on all feasible synthesized feeders (max voltage-magnitude deviation 0.019 pu, prespecified tolerance 0.02; feasibility agreement 1.00; evaluated on 672 feasible synthesized feeders, all converged). This validates the linearized calculations on synthesized feeder models, not actual municipal topology. Coincidence factor, demand densities, the 6% drop limit, and the 150 kW LV/MV boundary are assumptions, not observations; the boundary assumption materially moves the ΔNPC contrast (Figure 4) though not the VoF ordering. MV-served demand is excluded by design and cancels in contrasts; the LV-modeled shares of total demand are 75%/55%/53%. Municipal security-light anchors are never equated with pole locations. Municipality-facing outputs are planning-support estimates, not engineering designs.</w:t>
      </w:r>
    </w:p>
    <w:p>
      <w:pPr>
        <w:pStyle w:val="Heading1"/>
      </w:pPr>
      <w:r>
        <w:t>5. Conclusions</w:t>
      </w:r>
    </w:p>
    <w:p>
      <w:r>
        <w:t>Under engineering-feasible LV reconstruction and a nonnegative value-of-flexibility estimand, renewal-time topology re-optimization is economically equivalent to like-for-like renewal in all three study zones (VoF 0.01–0.39% of NPC, inside the prespecified 1% margin). Large headline ΔNPC magnitudes reported for re-layout at renewal should be audited for feasibility gating and for estimand design before they are cited as benefits. For infrastructure asset management, the practical implication is that like-for-like undergrounding renewal is a defensible default at LV scale; the small modeled value of LV topology flexibility suggests that MV-level planning and distributed-generation integration may warrant separate evaluation rather than assuming substantial gains from LV re-layout alone.</w:t>
      </w:r>
    </w:p>
    <w:p>
      <w:pPr>
        <w:pStyle w:val="Heading1"/>
      </w:pPr>
      <w:r>
        <w:t>Acknowledgements</w:t>
      </w:r>
    </w:p>
    <w:p>
      <w:r>
        <w:t>[to be completed at submission]</w:t>
      </w:r>
    </w:p>
    <w:p>
      <w:pPr>
        <w:pStyle w:val="Heading1"/>
      </w:pPr>
      <w:r>
        <w:t>Declarations</w:t>
      </w:r>
    </w:p>
    <w:p>
      <w:r>
        <w:t>Declaration of generative AI: during the preparation of this work the author used an AI coding assistant for code scaffolding and drafting. The author reviewed and edited all content and takes full responsibility for the publication.</w:t>
      </w:r>
    </w:p>
    <w:p>
      <w:r>
        <w:t>Data availability: all scripts, the source registry, checksums, and machine-readable result tables are provided in the supplementary repository snapshot (github.com/bougtoir/underground-topology).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Primary estimand VoF (value of topology flexibility) by zone vs Monte-Carlo mean of the secondary naive ΔNPC.</w:t>
      </w:r>
    </w:p>
    <w:p>
      <w:r>
        <w:t>Figure 4. Sensitivity to engineering assumptions in all zones: secondary naive ΔNPC ranges (bars) vs primary VoF (dots); grey band = prespecified 1% economic-equivalence margin.</w:t>
      </w:r>
    </w:p>
    <w:p>
      <w:pPr>
        <w:pStyle w:val="Heading1"/>
      </w:pPr>
      <w:r>
        <w:t>Tables</w:t>
      </w:r>
    </w:p>
    <w:p>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r>
        <w:t>Table 2. Scenario results (feasibility-gated)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city</w:t>
            </w:r>
          </w:p>
        </w:tc>
        <w:tc>
          <w:tcPr>
            <w:tcW w:type="dxa" w:w="864"/>
          </w:tcPr>
          <w:p>
            <w:r>
              <w:t>clusters</w:t>
            </w:r>
          </w:p>
        </w:tc>
        <w:tc>
          <w:tcPr>
            <w:tcW w:type="dxa" w:w="864"/>
          </w:tcPr>
          <w:p>
            <w:r>
              <w:t>feasible</w:t>
            </w:r>
          </w:p>
        </w:tc>
        <w:tc>
          <w:tcPr>
            <w:tcW w:type="dxa" w:w="864"/>
          </w:tcPr>
          <w:p>
            <w:r>
              <w:t>demand MW</w:t>
            </w:r>
          </w:p>
        </w:tc>
        <w:tc>
          <w:tcPr>
            <w:tcW w:type="dxa" w:w="864"/>
          </w:tcPr>
          <w:p>
            <w:r>
              <w:t>S1 NPC (bn JPY)</w:t>
            </w:r>
          </w:p>
        </w:tc>
        <w:tc>
          <w:tcPr>
            <w:tcW w:type="dxa" w:w="864"/>
          </w:tcPr>
          <w:p>
            <w:r>
              <w:t>S2 NPC</w:t>
            </w:r>
          </w:p>
        </w:tc>
        <w:tc>
          <w:tcPr>
            <w:tcW w:type="dxa" w:w="864"/>
          </w:tcPr>
          <w:p>
            <w:r>
              <w:t>VoF (bn JPY)</w:t>
            </w:r>
          </w:p>
        </w:tc>
        <w:tc>
          <w:tcPr>
            <w:tcW w:type="dxa" w:w="864"/>
          </w:tcPr>
          <w:p>
            <w:r>
              <w:t>VoF % (primary)</w:t>
            </w:r>
          </w:p>
        </w:tc>
        <w:tc>
          <w:tcPr>
            <w:tcW w:type="dxa" w:w="864"/>
          </w:tcPr>
          <w:p>
            <w:r>
              <w:t>ΔNPC bn (secondary)</w:t>
            </w:r>
          </w:p>
        </w:tc>
        <w:tc>
          <w:tcPr>
            <w:tcW w:type="dxa" w:w="864"/>
          </w:tcPr>
          <w:p>
            <w:r>
              <w:t>ΔNPC % (secondary)</w:t>
            </w:r>
          </w:p>
        </w:tc>
      </w:tr>
      <w:tr>
        <w:tc>
          <w:tcPr>
            <w:tcW w:type="dxa" w:w="864"/>
          </w:tcPr>
          <w:p>
            <w:r>
              <w:t>sano</w:t>
            </w:r>
          </w:p>
        </w:tc>
        <w:tc>
          <w:tcPr>
            <w:tcW w:type="dxa" w:w="864"/>
          </w:tcPr>
          <w:p>
            <w:r>
              <w:t>385</w:t>
            </w:r>
          </w:p>
        </w:tc>
        <w:tc>
          <w:tcPr>
            <w:tcW w:type="dxa" w:w="864"/>
          </w:tcPr>
          <w:p>
            <w:r>
              <w:t>360</w:t>
            </w:r>
          </w:p>
        </w:tc>
        <w:tc>
          <w:tcPr>
            <w:tcW w:type="dxa" w:w="864"/>
          </w:tcPr>
          <w:p>
            <w:r>
              <w:t>38.4</w:t>
            </w:r>
          </w:p>
        </w:tc>
        <w:tc>
          <w:tcPr>
            <w:tcW w:type="dxa" w:w="864"/>
          </w:tcPr>
          <w:p>
            <w:r>
              <w:t>4.84</w:t>
            </w:r>
          </w:p>
        </w:tc>
        <w:tc>
          <w:tcPr>
            <w:tcW w:type="dxa" w:w="864"/>
          </w:tcPr>
          <w:p>
            <w:r>
              <w:t>4.84</w:t>
            </w:r>
          </w:p>
        </w:tc>
        <w:tc>
          <w:tcPr>
            <w:tcW w:type="dxa" w:w="864"/>
          </w:tcPr>
          <w:p>
            <w:r>
              <w:t>0.0007</w:t>
            </w:r>
          </w:p>
        </w:tc>
        <w:tc>
          <w:tcPr>
            <w:tcW w:type="dxa" w:w="864"/>
          </w:tcPr>
          <w:p>
            <w:r>
              <w:t>0.014</w:t>
            </w:r>
          </w:p>
        </w:tc>
        <w:tc>
          <w:tcPr>
            <w:tcW w:type="dxa" w:w="864"/>
          </w:tcPr>
          <w:p>
            <w:r>
              <w:t>0.001</w:t>
            </w:r>
          </w:p>
        </w:tc>
        <w:tc>
          <w:tcPr>
            <w:tcW w:type="dxa" w:w="864"/>
          </w:tcPr>
          <w:p>
            <w:r>
              <w:t>0.01</w:t>
            </w:r>
          </w:p>
        </w:tc>
      </w:tr>
      <w:tr>
        <w:tc>
          <w:tcPr>
            <w:tcW w:type="dxa" w:w="864"/>
          </w:tcPr>
          <w:p>
            <w:r>
              <w:t>kudamatsu</w:t>
            </w:r>
          </w:p>
        </w:tc>
        <w:tc>
          <w:tcPr>
            <w:tcW w:type="dxa" w:w="864"/>
          </w:tcPr>
          <w:p>
            <w:r>
              <w:t>96</w:t>
            </w:r>
          </w:p>
        </w:tc>
        <w:tc>
          <w:tcPr>
            <w:tcW w:type="dxa" w:w="864"/>
          </w:tcPr>
          <w:p>
            <w:r>
              <w:t>88</w:t>
            </w:r>
          </w:p>
        </w:tc>
        <w:tc>
          <w:tcPr>
            <w:tcW w:type="dxa" w:w="864"/>
          </w:tcPr>
          <w:p>
            <w:r>
              <w:t>9.5</w:t>
            </w:r>
          </w:p>
        </w:tc>
        <w:tc>
          <w:tcPr>
            <w:tcW w:type="dxa" w:w="864"/>
          </w:tcPr>
          <w:p>
            <w:r>
              <w:t>4.65</w:t>
            </w:r>
          </w:p>
        </w:tc>
        <w:tc>
          <w:tcPr>
            <w:tcW w:type="dxa" w:w="864"/>
          </w:tcPr>
          <w:p>
            <w:r>
              <w:t>5.12</w:t>
            </w:r>
          </w:p>
        </w:tc>
        <w:tc>
          <w:tcPr>
            <w:tcW w:type="dxa" w:w="864"/>
          </w:tcPr>
          <w:p>
            <w:r>
              <w:t>0.0183</w:t>
            </w:r>
          </w:p>
        </w:tc>
        <w:tc>
          <w:tcPr>
            <w:tcW w:type="dxa" w:w="864"/>
          </w:tcPr>
          <w:p>
            <w:r>
              <w:t>0.394</w:t>
            </w:r>
          </w:p>
        </w:tc>
        <w:tc>
          <w:tcPr>
            <w:tcW w:type="dxa" w:w="864"/>
          </w:tcPr>
          <w:p>
            <w:r>
              <w:t>-0.468</w:t>
            </w:r>
          </w:p>
        </w:tc>
        <w:tc>
          <w:tcPr>
            <w:tcW w:type="dxa" w:w="864"/>
          </w:tcPr>
          <w:p>
            <w:r>
              <w:t>-10.1</w:t>
            </w:r>
          </w:p>
        </w:tc>
      </w:tr>
      <w:tr>
        <w:tc>
          <w:tcPr>
            <w:tcW w:type="dxa" w:w="864"/>
          </w:tcPr>
          <w:p>
            <w:r>
              <w:t>yasu</w:t>
            </w:r>
          </w:p>
        </w:tc>
        <w:tc>
          <w:tcPr>
            <w:tcW w:type="dxa" w:w="864"/>
          </w:tcPr>
          <w:p>
            <w:r>
              <w:t>108</w:t>
            </w:r>
          </w:p>
        </w:tc>
        <w:tc>
          <w:tcPr>
            <w:tcW w:type="dxa" w:w="864"/>
          </w:tcPr>
          <w:p>
            <w:r>
              <w:t>106</w:t>
            </w:r>
          </w:p>
        </w:tc>
        <w:tc>
          <w:tcPr>
            <w:tcW w:type="dxa" w:w="864"/>
          </w:tcPr>
          <w:p>
            <w:r>
              <w:t>10.7</w:t>
            </w:r>
          </w:p>
        </w:tc>
        <w:tc>
          <w:tcPr>
            <w:tcW w:type="dxa" w:w="864"/>
          </w:tcPr>
          <w:p>
            <w:r>
              <w:t>3.00</w:t>
            </w:r>
          </w:p>
        </w:tc>
        <w:tc>
          <w:tcPr>
            <w:tcW w:type="dxa" w:w="864"/>
          </w:tcPr>
          <w:p>
            <w:r>
              <w:t>2.99</w:t>
            </w:r>
          </w:p>
        </w:tc>
        <w:tc>
          <w:tcPr>
            <w:tcW w:type="dxa" w:w="864"/>
          </w:tcPr>
          <w:p>
            <w:r>
              <w:t>0.0060</w:t>
            </w:r>
          </w:p>
        </w:tc>
        <w:tc>
          <w:tcPr>
            <w:tcW w:type="dxa" w:w="864"/>
          </w:tcPr>
          <w:p>
            <w:r>
              <w:t>0.201</w:t>
            </w:r>
          </w:p>
        </w:tc>
        <w:tc>
          <w:tcPr>
            <w:tcW w:type="dxa" w:w="864"/>
          </w:tcPr>
          <w:p>
            <w:r>
              <w:t>0.006</w:t>
            </w:r>
          </w:p>
        </w:tc>
        <w:tc>
          <w:tcPr>
            <w:tcW w:type="dxa" w:w="864"/>
          </w:tcPr>
          <w:p>
            <w:r>
              <w:t>0.20</w:t>
            </w:r>
          </w:p>
        </w:tc>
      </w:tr>
    </w:tbl>
    <w:p>
      <w:pPr>
        <w:pStyle w:val="Heading1"/>
      </w:pPr>
      <w:r>
        <w:t>References</w:t>
      </w:r>
    </w:p>
    <w:p>
      <w:r>
        <w:t>Abhilash Bandam, Syranidou, C., Linssen, J. and Stolten, D. (2021). Geo-referenced synthetic low-voltage distribution networks: a data-driven approach. 2021 IEEE PES Innovative Smart Grid Technologies Europe (ISGT Europe), pp. 244–249. doi:10.1109/ISGTEurope52324.2021.9639916</w:t>
      </w:r>
    </w:p>
    <w:p>
      <w:r>
        <w:t>Baran, M.E. and Wu, F.F. (1989a). Network reconfiguration in distribution systems for loss reduction and load balancing. IEEE Transactions on Power Delivery 4(2): 1401–1407. doi:10.1109/61.25627</w:t>
      </w:r>
    </w:p>
    <w:p>
      <w:r>
        <w:t>Baran, M.E. and Wu, F.F. (1989b). Optimal capacitor placement on radial distribution systems. IEEE Transactions on Power Delivery 4(1): 725–734. doi:10.1109/61.19265</w:t>
      </w:r>
    </w:p>
    <w:p>
      <w:r>
        <w:t>Camargo, V., Lavorato, M. and Romero, R. (2013). Specialized genetic algorithm to solve the electrical distribution system expansion planning. 2013 IEEE Power &amp; Energy Society General Meeting, pp. 1–5. doi:10.1109/PESMG.2013.6672615</w:t>
      </w:r>
    </w:p>
    <w:p>
      <w:r>
        <w:t>Fenrick, S.A. and Getachew, L. (2012). Cost and reliability comparisons of underground and overhead power lines. Utilities Policy 20(1): 31–37. doi:10.1016/j.jup.2011.10.002</w:t>
      </w:r>
    </w:p>
    <w:p>
      <w:r>
        <w:t>Gan, L. and Low, S.H. (2014). Convex relaxations and linear approximation for optimal power flow in multiphase radial networks. 2014 Power Systems Computation Conference, pp. 1–9. doi:10.1109/PSCC.2014.7038399</w:t>
      </w:r>
    </w:p>
    <w:p>
      <w:r>
        <w:t>Haklay, M. and Weber, P. (2008). OpenStreetMap: user-generated street maps. IEEE Pervasive Computing 7(4): 12–18. doi:10.1109/MPRV.2008.80</w:t>
      </w:r>
    </w:p>
    <w:p>
      <w:r>
        <w:t>Hwang, F.K. and Richards, D.S. (1992). Steiner tree problems. Networks 22(1): 55–89. doi:10.1002/net.3230220105</w:t>
      </w:r>
    </w:p>
    <w:p>
      <w:r>
        <w:t>Kou, L., Markowsky, G. and Berman, L. (1981). A fast algorithm for Steiner trees. Acta Informatica 15(2): 141–145. doi:10.1007/BF00288961</w:t>
      </w:r>
    </w:p>
    <w:p>
      <w:r>
        <w:t>Kumar, D., Samantaray, S.R. and Joos, G. (2014). A reliability assessment based graph theoretical approach for feeder routing in power distribution networks including distributed generations. International Journal of Electrical Power &amp; Energy Systems 57: 11–30. doi:10.1016/j.ijepes.2013.11.039</w:t>
      </w:r>
    </w:p>
    <w:p>
      <w:r>
        <w:t>Larsen, P.H. (2016). A method to estimate the costs and benefits of undergrounding electricity transmission and distribution lines. Energy Economics 60: 47–61. doi:10.1016/j.eneco.2016.09.011</w:t>
      </w:r>
    </w:p>
    <w:p>
      <w:r>
        <w:t>Ross, R. (2019). Reliability Analysis for Asset Management of Electric Power Grids. Wiley. doi:10.1002/9781119125204</w:t>
      </w:r>
    </w:p>
    <w:p>
      <w:r>
        <w:t>Samui, A., Singh, S., Ghose, T. and Samantaray, S.R. (2012). A direct approach to optimal feeder routing for radial distribution system. IEEE Transactions on Power Delivery 27(1): 253–260. doi:10.1109/TPWRD.2011.2167522</w:t>
      </w:r>
    </w:p>
    <w:p>
      <w:r>
        <w:t>Taheri, B., Molzahn, D.K. and Grijalva, S. (2023). Improving distribution system resilience by undergrounding lines and deploying mobile generators. Electric Power Systems Research 214: 108804. doi:10.1016/j.epsr.2022.108804</w:t>
      </w:r>
    </w:p>
    <w:p>
      <w:r>
        <w:t>Tarraq, A., Mariami, F.E., Belfqih, A. and Haidi, T. (2023). Optimal renewable distributed generation planning: an up-to-date state-of-the-art review. International Journal of Global Energy Issues 45(4/5): 315–348. doi:10.1504/IJGEI.2023.132011</w:t>
      </w:r>
    </w:p>
    <w:p>
      <w:r>
        <w:t>Thurner, L., Scheidler, A., Schafer, F., Menke, J.-H., Dollichon, J., Meier, F., Meinecke, S. and Braun, M. (2018). Pandapower — an open-source Python tool for convenient modeling, analysis, and optimization of electric power systems. IEEE Transactions on Power Systems 33(6): 6510–6521. doi:10.1109/TPWRS.2018.2829021</w:t>
      </w:r>
    </w:p>
    <w:p>
      <w:r>
        <w:t>Tram, H.N. and Wall, D.L. (1988). Optimal conductor selection in planning radial distribution systems. IEEE Transactions on Power Systems 3(1): 200–206. doi:10.1109/59.43199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