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Supplementary Figure S1. NPC of S2 vs the secondary rooftop-PV overlay S3 by zone (scenario-based upper bound; does not alter the primary VoF conclusion).</w:t>
      </w:r>
    </w:p>
    <w:p>
      <w:r>
        <w:drawing>
          <wp:inline xmlns:a="http://schemas.openxmlformats.org/drawingml/2006/main" xmlns:pic="http://schemas.openxmlformats.org/drawingml/2006/picture">
            <wp:extent cx="5029200" cy="332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supp_figS1_d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Benchmark note. A second public MV benchmark (Iwamoto 11-bus) failed to converge in pandapower 3.5.5 and is excluded from validation statistics; the AC agreement reported in the main text covers all 672 feasible synthesized feeders.</w:t>
      </w:r>
    </w:p>
    <w:p>
      <w:r>
        <w:t>Supplementary Table S2. Within-zone Moran's I of cluster VoF (inverse-distance weights on demand-terminal centroids; 200-permutation p-values). Near-zero values indicate negligible spatial clustering of VoF within zones.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Moran's I</w:t>
            </w:r>
          </w:p>
        </w:tc>
        <w:tc>
          <w:tcPr>
            <w:tcW w:type="dxa" w:w="2160"/>
          </w:tcPr>
          <w:p>
            <w:r>
              <w:t>permutation p</w:t>
            </w:r>
          </w:p>
        </w:tc>
      </w:tr>
      <w:tr>
        <w:tc>
          <w:tcPr>
            <w:tcW w:type="dxa" w:w="2160"/>
          </w:tcPr>
          <w:p>
            <w:r>
              <w:t>sano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-0.001</w:t>
            </w:r>
          </w:p>
        </w:tc>
        <w:tc>
          <w:tcPr>
            <w:tcW w:type="dxa" w:w="2160"/>
          </w:tcPr>
          <w:p>
            <w:r>
              <w:t>0.154</w:t>
            </w:r>
          </w:p>
        </w:tc>
      </w:tr>
      <w:tr>
        <w:tc>
          <w:tcPr>
            <w:tcW w:type="dxa" w:w="2160"/>
          </w:tcPr>
          <w:p>
            <w:r>
              <w:t>kudamatsu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-0.023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  <w:tr>
        <w:tc>
          <w:tcPr>
            <w:tcW w:type="dxa" w:w="2160"/>
          </w:tcPr>
          <w:p>
            <w:r>
              <w:t>yasu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-0.005</w:t>
            </w:r>
          </w:p>
        </w:tc>
        <w:tc>
          <w:tcPr>
            <w:tcW w:type="dxa" w:w="2160"/>
          </w:tcPr>
          <w:p>
            <w:r>
              <w:t>0.274</w:t>
            </w:r>
          </w:p>
        </w:tc>
      </w:tr>
    </w:tbl>
    <w:p>
      <w:r>
        <w:t>Supplementary Table S3. Zero-mass structure of VoF by zone: positive-VoF clusters per zone and conditional medians (CEUS_ZERO_MASS_SUMMARY.csv). Positive incidence differs across zones (3/360, 13/88, 8/106 of electrically feasible clusters; 2 further cases within numerical tolerance); the pooled ~96% zero share is driven mainly by Sano.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feasible clusters</w:t>
            </w:r>
          </w:p>
        </w:tc>
        <w:tc>
          <w:tcPr>
            <w:tcW w:type="dxa" w:w="1728"/>
          </w:tcPr>
          <w:p>
            <w:r>
              <w:t>positive VoF</w:t>
            </w:r>
          </w:p>
        </w:tc>
        <w:tc>
          <w:tcPr>
            <w:tcW w:type="dxa" w:w="1728"/>
          </w:tcPr>
          <w:p>
            <w:r>
              <w:t>median VoF% | positive</w:t>
            </w:r>
          </w:p>
        </w:tc>
        <w:tc>
          <w:tcPr>
            <w:tcW w:type="dxa" w:w="1728"/>
          </w:tcPr>
          <w:p>
            <w:r>
              <w:t>max VoF%</w:t>
            </w:r>
          </w:p>
        </w:tc>
      </w:tr>
      <w:tr>
        <w:tc>
          <w:tcPr>
            <w:tcW w:type="dxa" w:w="1728"/>
          </w:tcPr>
          <w:p>
            <w:r>
              <w:t>kudamatsu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0.582</w:t>
            </w:r>
          </w:p>
        </w:tc>
        <w:tc>
          <w:tcPr>
            <w:tcW w:type="dxa" w:w="1728"/>
          </w:tcPr>
          <w:p>
            <w:r>
              <w:t>5.079</w:t>
            </w:r>
          </w:p>
        </w:tc>
      </w:tr>
      <w:tr>
        <w:tc>
          <w:tcPr>
            <w:tcW w:type="dxa" w:w="1728"/>
          </w:tcPr>
          <w:p>
            <w:r>
              <w:t>sano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0.486</w:t>
            </w:r>
          </w:p>
        </w:tc>
        <w:tc>
          <w:tcPr>
            <w:tcW w:type="dxa" w:w="1728"/>
          </w:tcPr>
          <w:p>
            <w:r>
              <w:t>1.066</w:t>
            </w:r>
          </w:p>
        </w:tc>
      </w:tr>
      <w:tr>
        <w:tc>
          <w:tcPr>
            <w:tcW w:type="dxa" w:w="1728"/>
          </w:tcPr>
          <w:p>
            <w:r>
              <w:t>yasu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0.241</w:t>
            </w:r>
          </w:p>
        </w:tc>
        <w:tc>
          <w:tcPr>
            <w:tcW w:type="dxa" w:w="1728"/>
          </w:tcPr>
          <w:p>
            <w:r>
              <w:t>6.098</w:t>
            </w:r>
          </w:p>
        </w:tc>
      </w:tr>
    </w:tbl>
    <w:p>
      <w:r>
        <w:t>Morphology robustness note. Convex-hull demand density is degenerate for 427 of 554 feasible clusters (fewer than three terminals or hull area &lt; 1e-4 km²); the hull-density association is therefore reported only on the 127 non-degenerate feasible clusters, and density is re-expressed on a fixed 100-m buffer support in the main text.</w:t>
      </w:r>
    </w:p>
    <w:p>
      <w:r>
        <w:t>Additional machine-readable tables (cluster-level results, morphology descriptors, engineering-assumption sensitivity, Monte-Carlo sweep) are provided as CSV files in the submission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