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Dr. Cui,</w:t>
      </w:r>
    </w:p>
    <w:p>
      <w:r>
        <w:t>I am submitting my manuscript, "The Value of Topology Flexibility at Infrastructure Renewal: A Feasibility-Gated Geospatial Assessment of Low-Voltage Re-Layout During Undergrounding," for consideration in the Journal of Management in Engineering.</w:t>
      </w:r>
    </w:p>
    <w:p>
      <w:r>
        <w:t>The paper asks a question that sits squarely in infrastructure asset management: when a municipality has already committed to undergrounding an aging overhead distribution corridor, is it worth investigating a re-layout of the low-voltage network at the same time, or is like-for-like replacement the defensible default? I treat the renewal window as a bounded decision problem in which the incumbent layout remains an admissible choice, and I price the option to re-draw the network rather than assuming it should be exercised.</w:t>
      </w:r>
    </w:p>
    <w:p>
      <w:r>
        <w:t>Three contributions follow. First, I define a feasibility-gated, incumbent-admissible estimand — the value of topology flexibility (VoF) — which removes the inflated savings that appear when the inherited layout is excluded from the comparison set; a conventional incumbent-excluding contrast is shown to be artifact-prone. Second, I provide an open-data reconstruction and engineering-gating pipeline spanning three municipal data observability tiers, with AC power-flow validation performed on 672 feeder–scenario objects across 336 clusters for which both incumbent and redesign scenarios were feasible. Third, across 554 feasible feeder clusters in three Japanese study zones, the option value is bounded (0.01–0.39% of like-for-like life-cycle cost, inside a prespecified 1% practical-equivalence margin), zero for 96% of clusters, and size-structured rather than morphology-driven — which converts a bounded, partly negative result into an actionable screening rule for where detailed re-layout engineering is worth commissioning.</w:t>
      </w:r>
    </w:p>
    <w:p>
      <w:r>
        <w:t>I am deliberately transparent that the magnitudes are modeled results conditional on reconstruction assumptions, not observed utility savings. The transferable deliverable for asset managers and municipal engineers is the screening method itself: a way to decide, before detailed design, whether a renewal corridor merits a topology study at all. I believe this decision-framing and its disciplined treatment of a null result are a natural fit for the journal's readership.</w:t>
      </w:r>
    </w:p>
    <w:p>
      <w:r>
        <w:t>All code, the data-source registry, and machine-readable result tables are publicly available at github.com/bougtoir/underground-topology. The manuscript is not under consideration elsewhere, and I declare no conflict of interest. I would be glad to provide any further material the review requires.</w:t>
      </w:r>
    </w:p>
    <w:p>
      <w:r>
        <w:t>Sincerely,</w:t>
      </w:r>
    </w:p>
    <w:p>
      <w:r>
        <w:t>[Author name and affiliation — to be completed at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